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587" w:rsidRDefault="00713587">
      <w:pPr>
        <w:widowControl w:val="0"/>
        <w:pBdr>
          <w:top w:val="nil"/>
          <w:left w:val="nil"/>
          <w:bottom w:val="nil"/>
          <w:right w:val="nil"/>
          <w:between w:val="nil"/>
        </w:pBdr>
        <w:spacing w:line="276" w:lineRule="auto"/>
      </w:pPr>
    </w:p>
    <w:p w:rsidR="00713587" w:rsidRDefault="00713587">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7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73"/>
      </w:tblGrid>
      <w:tr w:rsidR="00713587">
        <w:trPr>
          <w:trHeight w:val="980"/>
          <w:jc w:val="center"/>
        </w:trPr>
        <w:tc>
          <w:tcPr>
            <w:tcW w:w="10773" w:type="dxa"/>
          </w:tcPr>
          <w:p w:rsidR="00713587" w:rsidRDefault="00713587">
            <w:pPr>
              <w:tabs>
                <w:tab w:val="center" w:pos="4252"/>
                <w:tab w:val="right" w:pos="8504"/>
              </w:tabs>
              <w:ind w:left="385"/>
              <w:jc w:val="both"/>
              <w:rPr>
                <w:rFonts w:ascii="Arial" w:eastAsia="Arial" w:hAnsi="Arial" w:cs="Arial"/>
                <w:color w:val="000000"/>
              </w:rPr>
            </w:pPr>
            <w:bookmarkStart w:id="0" w:name="_gjdgxs" w:colFirst="0" w:colLast="0"/>
            <w:bookmarkEnd w:id="0"/>
          </w:p>
          <w:p w:rsidR="00713587" w:rsidRPr="001B676B" w:rsidRDefault="001B676B">
            <w:pPr>
              <w:ind w:left="385"/>
              <w:jc w:val="center"/>
              <w:rPr>
                <w:rFonts w:ascii="Arial" w:eastAsia="Arial" w:hAnsi="Arial" w:cs="Arial"/>
                <w:b/>
                <w:sz w:val="28"/>
                <w:szCs w:val="28"/>
              </w:rPr>
            </w:pPr>
            <w:r w:rsidRPr="001B676B">
              <w:rPr>
                <w:rFonts w:ascii="Arial" w:eastAsia="Arial" w:hAnsi="Arial" w:cs="Arial"/>
                <w:b/>
                <w:sz w:val="28"/>
                <w:szCs w:val="28"/>
              </w:rPr>
              <w:t>Anteproyecto de Ley de Memoria Democrática.</w:t>
            </w:r>
          </w:p>
        </w:tc>
      </w:tr>
    </w:tbl>
    <w:p w:rsidR="00713587" w:rsidRDefault="00713587">
      <w:pPr>
        <w:pStyle w:val="Ttulo1"/>
        <w:rPr>
          <w:rFonts w:ascii="Arial" w:eastAsia="Arial" w:hAnsi="Arial" w:cs="Arial"/>
          <w:sz w:val="24"/>
        </w:rPr>
      </w:pPr>
    </w:p>
    <w:p w:rsidR="00713587" w:rsidRDefault="00713587">
      <w:pPr>
        <w:rPr>
          <w:rFonts w:ascii="Arial" w:eastAsia="Arial" w:hAnsi="Arial" w:cs="Arial"/>
        </w:rPr>
      </w:pPr>
    </w:p>
    <w:p w:rsidR="00713587" w:rsidRDefault="001B676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88" w:lineRule="auto"/>
        <w:ind w:left="565" w:hanging="565"/>
        <w:jc w:val="center"/>
        <w:rPr>
          <w:rFonts w:ascii="Arial" w:eastAsia="Arial" w:hAnsi="Arial" w:cs="Arial"/>
          <w:color w:val="000000"/>
        </w:rPr>
      </w:pPr>
      <w:r>
        <w:rPr>
          <w:rFonts w:ascii="Arial" w:eastAsia="Arial" w:hAnsi="Arial" w:cs="Arial"/>
          <w:color w:val="000000"/>
        </w:rPr>
        <w:t>EXPOSICIÓN DE MOTIVOS</w:t>
      </w:r>
    </w:p>
    <w:p w:rsidR="00713587" w:rsidRDefault="0071358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88" w:lineRule="auto"/>
        <w:ind w:left="565" w:hanging="565"/>
        <w:jc w:val="center"/>
        <w:rPr>
          <w:rFonts w:ascii="Arial" w:eastAsia="Arial" w:hAnsi="Arial" w:cs="Arial"/>
          <w:color w:val="000000"/>
        </w:rPr>
      </w:pPr>
    </w:p>
    <w:p w:rsidR="00713587" w:rsidRDefault="001B676B">
      <w:pPr>
        <w:spacing w:line="288" w:lineRule="auto"/>
        <w:ind w:left="360" w:right="172"/>
        <w:jc w:val="center"/>
        <w:rPr>
          <w:rFonts w:ascii="Arial" w:eastAsia="Arial" w:hAnsi="Arial" w:cs="Arial"/>
        </w:rPr>
      </w:pPr>
      <w:r>
        <w:rPr>
          <w:rFonts w:ascii="Arial" w:eastAsia="Arial" w:hAnsi="Arial" w:cs="Arial"/>
        </w:rPr>
        <w:t>I</w:t>
      </w:r>
    </w:p>
    <w:p w:rsidR="00713587" w:rsidRDefault="00713587">
      <w:pPr>
        <w:spacing w:line="288" w:lineRule="auto"/>
        <w:ind w:left="360" w:right="172"/>
        <w:jc w:val="center"/>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Desde el fin de las guerras civiles y conflictos mundiales que asolaron Europa en el siglo XX, y especialmente desde el Holocausto, el impulso de las políticas de memoria democrática se ha convertido en un deber moral que es indispensable fortalecer para neutralizar el olvido y evitar la repetición de los episodios más trágicos de la historia. El firme compromiso con la pedagogía del “nunca más” se ha convertido en un imperativo ético fundamental en las sociedades democráticas en todo el mundo.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bookmarkStart w:id="1" w:name="_30j0zll" w:colFirst="0" w:colLast="0"/>
      <w:bookmarkEnd w:id="1"/>
      <w:r>
        <w:rPr>
          <w:rFonts w:ascii="Arial" w:eastAsia="Arial" w:hAnsi="Arial" w:cs="Arial"/>
        </w:rPr>
        <w:t xml:space="preserve">Los procesos de memoria son un componente esencial de la configuración y desarrollo de todas las sociedades humanas, y afectan desde los gestos más cotidianos hasta las grandes políticas de Estado. El despliegue de la memoria es especialmente importante en la constitución de identidades individuales y colectivas, porque su enorme potencial de cohesión es equiparable a su capacidad de generación de exclusión, diferencia y enfrentamiento. Por eso, la principal responsabilidad del Estado en el desarrollo de políticas de memoria democrática es fomentar su vertiente reparadora, inclusiva y plural.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Para ello, las políticas públicas de memoria democrática deben recoger y canalizar las aspiraciones de la sociedad civil, incentivar la participación ciudadana y la reflexión social y reparar y reconocer la dignidad de las víctimas de toda forma de violencia intolerante y fanática. La memoria se convierte así en un elemento decisivo para fomentar formas de ciudadanía abiertas, inclusivas y plurales, plenamente conscientes de su propia historia, capaces de detectar y desactivar las derivas totalitarias o antidemocráticas que crecen en su seno.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La conquista y consolidación de la democracia en España ha sido el logro histórico más significativo de la sociedad española. El asentamiento de los principios y valores democráticos que consagra la Constitución de 1978 hace nuestra sociedad más fuerte y constituyen la más clara apuesta de convivencia en el futuro. Conocer la trayectoria de nuestra democracia, desde sus orígenes a la actualidad, sus vicisitudes, los sacrificios de los hombres y las mujeres de España en la lucha por las libertades y la democracia es un deber ineludible que contribuirá a fortalecer nuestra sociedad en las virtudes cívicas y los valores constitucionales. En ese marco, la sociedad española tiene un deber de memoria con las personas que fueron perseguidas, encarceladas, torturadas e incluso perdieron sus bienes y hasta su propia vida en defensa de la democracia y la libertad.</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La memoria de las víctimas del golpe de Estado, la Guerra Civil y la dictadura franquista, su reconocimiento, reparación y dignificación, representan, por tanto, un inexcusable deber moral en la vida política y es signo de la calidad de la democracia. La historia no puede construirse desde el olvido y el silenciamiento de los vencidos. El conocimiento de nuestro pasado reciente contribuye a asentar nuestra convivencia sobre bases más firmes, protegiéndonos de repetir errores del pasado. La consolidación de nuestro ordenamiento constitucional nos permite hoy afrontar la verdad y la justicia sobre nuestro pasado. El olvido no es opción para una democracia. </w:t>
      </w:r>
    </w:p>
    <w:p w:rsidR="00713587" w:rsidRDefault="00713587">
      <w:pPr>
        <w:spacing w:line="288" w:lineRule="auto"/>
        <w:ind w:left="360" w:right="172"/>
        <w:jc w:val="both"/>
        <w:rPr>
          <w:rFonts w:ascii="Arial" w:eastAsia="Arial" w:hAnsi="Arial" w:cs="Arial"/>
        </w:rPr>
      </w:pPr>
    </w:p>
    <w:p w:rsidR="00713587" w:rsidRDefault="00713587">
      <w:pPr>
        <w:spacing w:line="288" w:lineRule="auto"/>
        <w:ind w:left="360" w:right="172"/>
        <w:jc w:val="center"/>
        <w:rPr>
          <w:rFonts w:ascii="Arial" w:eastAsia="Arial" w:hAnsi="Arial" w:cs="Arial"/>
        </w:rPr>
      </w:pPr>
    </w:p>
    <w:p w:rsidR="00713587" w:rsidRDefault="001B676B">
      <w:pPr>
        <w:spacing w:line="288" w:lineRule="auto"/>
        <w:ind w:left="360" w:right="172"/>
        <w:jc w:val="center"/>
        <w:rPr>
          <w:rFonts w:ascii="Arial" w:eastAsia="Arial" w:hAnsi="Arial" w:cs="Arial"/>
        </w:rPr>
      </w:pPr>
      <w:r>
        <w:rPr>
          <w:rFonts w:ascii="Arial" w:eastAsia="Arial" w:hAnsi="Arial" w:cs="Arial"/>
        </w:rPr>
        <w:t>II</w:t>
      </w:r>
    </w:p>
    <w:p w:rsidR="00713587" w:rsidRDefault="00713587">
      <w:pPr>
        <w:spacing w:line="288" w:lineRule="auto"/>
        <w:ind w:left="360" w:right="172"/>
        <w:jc w:val="center"/>
        <w:rPr>
          <w:rFonts w:ascii="Arial" w:eastAsia="Arial" w:hAnsi="Arial" w:cs="Arial"/>
        </w:rPr>
      </w:pPr>
    </w:p>
    <w:p w:rsidR="00713587" w:rsidRDefault="001B676B">
      <w:pPr>
        <w:spacing w:line="288" w:lineRule="auto"/>
        <w:ind w:left="360" w:right="172"/>
        <w:jc w:val="both"/>
        <w:rPr>
          <w:rFonts w:ascii="Arial" w:eastAsia="Arial" w:hAnsi="Arial" w:cs="Arial"/>
        </w:rPr>
      </w:pPr>
      <w:bookmarkStart w:id="2" w:name="_1fob9te" w:colFirst="0" w:colLast="0"/>
      <w:bookmarkEnd w:id="2"/>
      <w:r>
        <w:rPr>
          <w:rFonts w:ascii="Arial" w:eastAsia="Arial" w:hAnsi="Arial" w:cs="Arial"/>
        </w:rPr>
        <w:t>Esta Ley de Memoria Democrática toma como referencia las luchas individuales y colectivas de los hombres y las mujeres de España por la conquista de los derechos, las libertades y la democracia. España atesora una larga tradición liberal y democrática que surge con las Cortes de Cádiz y la Constitución de 1812. A lo largo de todo el siglo XIX y gran parte del XX, multitud de españoles y españolas lucharon y dieron su vida por la implantación de un sistema democrático en nuestro país, en los mismos términos que se estaba construyendo en el resto de países de nuestro entorno.   Constituciones como la de 1812, 1869, 1931 y 1978 han sido hitos de nuestra historia democrática y han abierto momentos esperanzadores para el conjunto de nuestra sociedad.</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Hasta la Constitución de 1978, esos periodos democráticos eran abruptamente interrumpidos por quienes pretendieron alejar a nuestro país de procesos más inclusivos, tolerantes, de igualdad, justicia social y solidaridad. El último de ellos, protagonizado por la Segunda República Española y sus avanzadas reformas políticas y sociales, fue interrumpido por un golpe de Estado apoyado por las potencias fascistas del Eje y una cruenta Guerra Civil que tenía como objetivo poner fin a la democracia y acabar con los demócratas.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Las violaciones de los derechos humanos durante la Guerra Civil y la durísima represión de la posguerra y la dictadura franquista fueron condenadas en el informe de la Asamblea Parlamentaria del Consejo de Europa, adoptado en París el 17 de marzo de 2006. Los hechos descritos por el Consejo de Europa señalan que durante la Guerra Civil se cometieron gravísimos crímenes y que el golpe de Estado en julio de 1936 contó con el apoyo de unidades regulares de las Fuerzas Armadas de Alemania e Italia y sus respectivos Gobiernos, que intervinieron en territorio español como prólogo de las agresiones a otros Estados que fueron juzgadas y condenadas por el Tribunal de Núremberg en 1946.  Pero, sobre todo, señalan que durante la posterior dictadura franquista se estableció un sistema político autoritario que reprimió masivamente todo atisbo de oposición política. Como indica el referido informe del Consejo de Europa, en España se produjeron de manera sistemática desapariciones forzadas, ejecuciones extrajudiciales, detenciones arbitrarias, políticas de campos de concentración, trabajos forzados, torturas, violaciones e incluso secuestro masivo de recién nacidos bajo una política de inspiración “genética”. La ciudadanía tiene actualmente el derecho inalienable al conocimiento de la verdad histórica sobre el proceso de violencia y terror impuesto por el régimen franquista, así como sobre los valores y los actos de resistencia democrática que llevaron a cabo quienes cayeron víctimas de su represión.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Frente a esta experiencia histórica, esta Ley tiene un doble objetivo. Por un lado, pretende fomentar el conocimiento de las etapas democráticas de nuestra historia y de todas aquellas figuras individuales y movimientos colectivos que, con grandes sacrificios, fueron construyendo progresivamente los nexos de cultura democrática que permitieron llegar a los acuerdos de la Constitución de 1978, y al actual Estado Social y Democrático de Derecho para defender los derechos de los españoles, su nacionalidades y regiones.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Por otro lado, esta Ley persigue preservar y mantener la memoria de las víctimas de la Guerra Civil y la dictadura franquista, a través del conocimiento </w:t>
      </w:r>
      <w:r>
        <w:rPr>
          <w:rFonts w:ascii="Arial" w:eastAsia="Arial" w:hAnsi="Arial" w:cs="Arial"/>
        </w:rPr>
        <w:lastRenderedPageBreak/>
        <w:t>de la verdad, como un derecho de las víctimas, el establecimiento de la justicia y fomento de la reparación y el establecimiento de un deber de memoria de los poderes públicos, para evitar la repetición de cualquier forma de violencia política o totalitarismo.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center"/>
        <w:rPr>
          <w:rFonts w:ascii="Arial" w:eastAsia="Arial" w:hAnsi="Arial" w:cs="Arial"/>
        </w:rPr>
      </w:pPr>
      <w:r>
        <w:rPr>
          <w:rFonts w:ascii="Arial" w:eastAsia="Arial" w:hAnsi="Arial" w:cs="Arial"/>
        </w:rPr>
        <w:t>III</w:t>
      </w:r>
    </w:p>
    <w:p w:rsidR="00713587" w:rsidRDefault="00713587">
      <w:pPr>
        <w:spacing w:line="288" w:lineRule="auto"/>
        <w:ind w:left="360" w:right="172"/>
        <w:jc w:val="center"/>
        <w:rPr>
          <w:rFonts w:ascii="Arial" w:eastAsia="Arial" w:hAnsi="Arial" w:cs="Arial"/>
        </w:rPr>
      </w:pPr>
    </w:p>
    <w:p w:rsidR="00713587" w:rsidRDefault="001B676B">
      <w:pPr>
        <w:spacing w:line="288" w:lineRule="auto"/>
        <w:ind w:left="360" w:right="172"/>
        <w:jc w:val="both"/>
        <w:rPr>
          <w:rFonts w:ascii="Arial" w:eastAsia="Arial" w:hAnsi="Arial" w:cs="Arial"/>
          <w:i/>
          <w:color w:val="FF0000"/>
        </w:rPr>
      </w:pPr>
      <w:bookmarkStart w:id="3" w:name="_3znysh7" w:colFirst="0" w:colLast="0"/>
      <w:bookmarkEnd w:id="3"/>
      <w:r>
        <w:rPr>
          <w:rFonts w:ascii="Arial" w:eastAsia="Arial" w:hAnsi="Arial" w:cs="Arial"/>
          <w:i/>
        </w:rPr>
        <w:t xml:space="preserve">La construcción de una memoria común no es un proyecto nuevo en la sociedad española. El régimen franquista impuso desde sus inicios una poderosa política de memoria que excluía, criminalizaba, estigmatizaba e </w:t>
      </w:r>
      <w:proofErr w:type="spellStart"/>
      <w:r>
        <w:rPr>
          <w:rFonts w:ascii="Arial" w:eastAsia="Arial" w:hAnsi="Arial" w:cs="Arial"/>
          <w:i/>
        </w:rPr>
        <w:t>invisibilizaba</w:t>
      </w:r>
      <w:proofErr w:type="spellEnd"/>
      <w:r>
        <w:rPr>
          <w:rFonts w:ascii="Arial" w:eastAsia="Arial" w:hAnsi="Arial" w:cs="Arial"/>
          <w:i/>
        </w:rPr>
        <w:t xml:space="preserve"> radicalmente a las víctimas vencidas tras el triunfo del golpe militar. En el marco de este relato totalitario, y al mismo tiempo que continuaba una dura represión sobre las personas que defendían la Segunda República, se establecieron importantes medidas de reconocimiento y reparación moral y económica a las víctimas que habían combatido o posicionado a favor del Golpe de Estado. </w:t>
      </w:r>
    </w:p>
    <w:p w:rsidR="00713587" w:rsidRDefault="001B676B">
      <w:pPr>
        <w:spacing w:line="288" w:lineRule="auto"/>
        <w:ind w:left="360" w:right="172"/>
        <w:jc w:val="both"/>
        <w:rPr>
          <w:rFonts w:ascii="Arial" w:eastAsia="Arial" w:hAnsi="Arial" w:cs="Arial"/>
        </w:rPr>
      </w:pPr>
      <w:r>
        <w:rPr>
          <w:rFonts w:ascii="Arial" w:eastAsia="Arial" w:hAnsi="Arial" w:cs="Arial"/>
        </w:rPr>
        <w:t xml:space="preserve">. Así, se exhumó un gran número de fosas comunes con apoyo estatal y metodología científica. Se erigieron monumentos conmemorativos y panteones por todo el país, se inscribieron los nombres de los “caídos” en placas en las iglesias, se establecieron fechas conmemorativas y se nombraron municipios, infraestructuras, calles y avenidas en honor de personajes impulsores del golpe de Estado, de la dictadura o de hechos considerados gloriosos por el régimen franquista. El proyecto memorial más importante se plasmaría veinte años después en el Valle de los Caídos, inaugurado por el dictador Francisco Franco en el vigésimo aniversario de la “victoria” militar (1 de abril de 1959), monumento al que esta Ley presta especial atención al estar llamado a ser un eje fundamental de la </w:t>
      </w:r>
      <w:proofErr w:type="spellStart"/>
      <w:r>
        <w:rPr>
          <w:rFonts w:ascii="Arial" w:eastAsia="Arial" w:hAnsi="Arial" w:cs="Arial"/>
        </w:rPr>
        <w:t>resignificación</w:t>
      </w:r>
      <w:proofErr w:type="spellEnd"/>
      <w:r>
        <w:rPr>
          <w:rFonts w:ascii="Arial" w:eastAsia="Arial" w:hAnsi="Arial" w:cs="Arial"/>
        </w:rPr>
        <w:t xml:space="preserve"> democrática contemporánea de las políticas franquistas de memoria.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Estas políticas de memoria totalitaria tuvieron una enorme influencia social y política gracias a su respaldo dictatorial, pero no consiguieron borrar la continuidad de la memoria democrática dentro y fuera de nuestras fronteras, de la mano del exilio republicano, los combatientes antifascistas españoles, círculos políticos y artísticos clandestinos, en las luchas sindicales y estudiantiles contra la dictadura, en el movimiento ciudadano y en las asociaciones feministas.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La muerte del dictador en 1975 y la llegada de la democracia supusieron un punto de inflexión respecto a la política de memoria instaurada durante el </w:t>
      </w:r>
      <w:r>
        <w:rPr>
          <w:rFonts w:ascii="Arial" w:eastAsia="Arial" w:hAnsi="Arial" w:cs="Arial"/>
        </w:rPr>
        <w:lastRenderedPageBreak/>
        <w:t>franquismo. La vigente Constitución se fundamentó en un amplio compromiso social y político para la superación de las graves y profundas heridas que había sufrido la sociedad española durante la Guerra Civil y los cuarenta años de dictadura franquista. Este consenso fue el espíritu de nuestra transición política, y ha sido la base de la época de mayor esplendor y prosperidad que ha conocido nuestro país.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i/>
        </w:rPr>
      </w:pPr>
      <w:r>
        <w:rPr>
          <w:rFonts w:ascii="Arial" w:eastAsia="Arial" w:hAnsi="Arial" w:cs="Arial"/>
          <w:i/>
        </w:rPr>
        <w:t>La Transición asumía el legado democrático y de dignidad que varias generaciones de españoles y españolas habían forjado en torno a la defensa de la democracia, la lucha antifascista en Europa y la recuperación de las libertades individuales y colectivas en nuestro país. Así, y desde entonces, múltiples iniciativas políticas, legales, sociales y culturales han venido a reparar y restañar esas brechas para evitar la división entre la ciudadanía y fomentar la cohesión y solidaridad entre las diversas generaciones de españoles y españolas en torno a los valores superiores de nuestro ordenamiento jurídico, los principios constitucionales y los derechos y libertades fundamentales.</w:t>
      </w:r>
    </w:p>
    <w:p w:rsidR="00713587" w:rsidRDefault="00713587">
      <w:pPr>
        <w:spacing w:line="288" w:lineRule="auto"/>
        <w:ind w:left="360" w:right="172"/>
        <w:jc w:val="both"/>
        <w:rPr>
          <w:rFonts w:ascii="Arial" w:eastAsia="Arial" w:hAnsi="Arial" w:cs="Arial"/>
          <w:strike/>
        </w:rPr>
      </w:pPr>
    </w:p>
    <w:p w:rsidR="00713587" w:rsidRDefault="001B676B">
      <w:pPr>
        <w:spacing w:line="288" w:lineRule="auto"/>
        <w:ind w:left="360" w:right="172"/>
        <w:jc w:val="both"/>
        <w:rPr>
          <w:rFonts w:ascii="Arial" w:eastAsia="Arial" w:hAnsi="Arial" w:cs="Arial"/>
        </w:rPr>
      </w:pPr>
      <w:r>
        <w:rPr>
          <w:rFonts w:ascii="Arial" w:eastAsia="Arial" w:hAnsi="Arial" w:cs="Arial"/>
        </w:rPr>
        <w:t>En el campo memorial, desde los primeros años de la Transición, tanto los poderes públicos como la sociedad civil impulsaron un número muy importante de medidas simbólicas, de reparación económica, de reconocimiento de víctimas del franquismo y condena de la dictadura de diversa índole, dirigidas a corregir y equilibrar los perjuicios y consecuencias aparejados al resultado de la Guerra Civil y la larga represión de un régimen totalitario, aunque carecían de un marco memorial integrador de políticas públicas de memoria como los que se consolidaron posteriormente.</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Unas iniciativas que se truncaron pronto y no volvieron a aflorar hasta finales del siglo XX cuando la llamada “generación de los nietos” quiso conocer lo que pasó con sus antepasados y exigieron la recuperación y el reconocimiento de la dignidad de las víctimas republicanas. De esta manera, con el siglo XXI se abre una nueva fase en las políticas de memoria que conecta con mayor claridad, aunque de manera paulatina, la memoria democrática en España con la memoria europea y con el Derecho Internacional de derechos humanos que se plasma en los principios internacionales de verdad, justicia, reparación y garantías de no repetición.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En ese marco, el movimiento en pro de la recuperación de la memoria histórica cobró nuevo impulso, multiplicándose los actos conmemorativos de dignificación y homenaje de las víctimas del franquismo, así como el inicio de </w:t>
      </w:r>
      <w:r>
        <w:rPr>
          <w:rFonts w:ascii="Arial" w:eastAsia="Arial" w:hAnsi="Arial" w:cs="Arial"/>
        </w:rPr>
        <w:lastRenderedPageBreak/>
        <w:t>un nuevo ciclo de exhumaciones de fosas comunes de civiles republicanos y republicanas asesinados en la retaguardia, contribuyendo mediante un gran impacto público mediático a crear conciencia de la necesidad de acometer las asignaturas pendientes en el ámbito memorial.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En paralelo, en el ámbito institucional, destaca la aprobación por unanimidad el 20 de noviembre de 2002 de la Proposición no de Ley de la Comisión Constitucional del Congreso, que promulgaba el “reconocimiento moral de todos los hombres y mujeres que fueron víctimas de la guerra civil española, así como de cuantos padecieron más tarde la represión de la dictadura franquista”, afirmación que se reitera en el mismo sentido por el Pleno del Congreso el 1 de junio de 2004.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De especial importancia en la profundización de la dimensión europea e internacional de la memoria democrática en España fue la Recomendación de la Asamblea Parlamentaria del Consejo de Europa del 17 de marzo de 2006, en la que se condenaban las “graves violaciones de los Derechos Humanos cometidas en España por el régimen franquista”, y que constituye el impulso definitivo para la adopción de la Ley 52/2007, de 26 de diciembre, por la que se reconocen y amplían derechos y se establecen medidas en favor de quienes padecieron persecución o violencia durante la guerra civil o la dictadura.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La Ley 52/2007, de 26 de diciembre, supuso una respuesta de gran calado desde el Estado a las demandas de la sociedad civil y del Consejo de Europa, y marcó un punto de inflexión clave en el proceso de institucionalización de las políticas públicas de memoria democrática en España. La Ley fue aprobada en el contexto de una exigencia legítima, una deuda histórica que pesaba sobre el ordenamiento jurídico de nuestro país, la reparación de las víctimas de la Guerra Civil y la posterior dictadura franquista.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En este sentido, el gran valor de la Ley 52/2007, de 26 de diciembre, reside en haber situado la memoria personal y familiar en el ámbito de la ciudadanía democrática, mediante el reconocimiento general de las víctimas, su derecho individual y colectivo a la reparación y declarando </w:t>
      </w:r>
      <w:r>
        <w:rPr>
          <w:rFonts w:ascii="Arial" w:eastAsia="Arial" w:hAnsi="Arial" w:cs="Arial"/>
          <w:i/>
        </w:rPr>
        <w:t xml:space="preserve">ex </w:t>
      </w:r>
      <w:proofErr w:type="spellStart"/>
      <w:r>
        <w:rPr>
          <w:rFonts w:ascii="Arial" w:eastAsia="Arial" w:hAnsi="Arial" w:cs="Arial"/>
          <w:i/>
        </w:rPr>
        <w:t>lege</w:t>
      </w:r>
      <w:proofErr w:type="spellEnd"/>
      <w:r>
        <w:rPr>
          <w:rFonts w:ascii="Arial" w:eastAsia="Arial" w:hAnsi="Arial" w:cs="Arial"/>
        </w:rPr>
        <w:t xml:space="preserve"> la ilegitimidad de los órganos represores del franquismo. Desde este punto de partida, los poderes públicos asumían una serie de obligaciones dirigidas a reconocer la verdad de los hechos sucedidos en España durante la Guerra Civil y el franquismo, localizar e identificar a los desaparecidos, desterrar cualquier forma de </w:t>
      </w:r>
      <w:r>
        <w:rPr>
          <w:rFonts w:ascii="Arial" w:eastAsia="Arial" w:hAnsi="Arial" w:cs="Arial"/>
        </w:rPr>
        <w:lastRenderedPageBreak/>
        <w:t>exaltación de la Dictadura en el espacio público y facilitar el acceso a los archivos públicos y privados.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La Ley 52/2007, de 26 de diciembre, tuvo un importante desarrollo hasta 2011, dando continuidad presupuestaria a las subvenciones para actividades de Memoria Histórica, con la oficina de atención a las víctimas, el mapa de fosas del Estado, la Comisión de Expertos para el futuro del Valle de los Caídos y el protocolo de actuación en exhumaciones de víctimas de la Guerra Civil y la Dictadura, entre otros.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Esta tarea fue, sin embargo, abrupta e injustificadamente interrumpida. Este esfuerzo reparador en favor de quienes comprometieron su vida y su libertad en la lucha por la democracia y las libertades no tuvo continuidad en las X y XI Legislaturas, dejándose de dotar estas medidas y eliminándose la partida presupuestaria para esta política. Como consecuencia, la continuación de muchas de las actividades memoriales por parte de la sociedad civil y el movimiento memorialista sufrieron la carencia de medios y orfandad institucional, contrarrestado en algunos territorios por el desarrollo de la política memorial en el ámbito autonómico.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Desde entonces, un buen número de comunidades autónomas han aprobado sus propias leyes de memoria histórica y democrática, y otras han desarrollado actuaciones de memoria en diversas escalas. Estos desarrollos legislativos autonómicos tienen diferentes niveles de articulación con la legislación estatal y algunos de ellos han instaurado mecanismos que, gracias a la experiencia acumulada, a las transformaciones en las reclamaciones del movimiento memorial y al fortalecimiento de los instrumentos jurídicos internacionales relativos a la protección de los derechos humanos, transcienden y enriquecen el régimen memorial establecido en la Ley 52/2007, de 26 de diciembre. Al mismo tiempo, estas leyes modulan parte de su articulado para atender a las necesidades y culturas memoriales específicas de cada comunidad autónoma. Por su parte, la inmensa mayoría de entidades locales han llevado o están llevando a cabo sus planes de eliminación de vestigios y de recuperación e identificación de desaparecidos.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La ley 52/2007, de 26 de diciembre, sigue siendo un texto plenamente válido, aunque, tras más de trece años de vigencia, se ha puesto de relieve la necesidad de su reforma para alcanzar sus objetivos. Quedan cuestiones pendientes en este ámbito de la protección de las víctimas de la guerra civil </w:t>
      </w:r>
      <w:r>
        <w:rPr>
          <w:rFonts w:ascii="Arial" w:eastAsia="Arial" w:hAnsi="Arial" w:cs="Arial"/>
        </w:rPr>
        <w:lastRenderedPageBreak/>
        <w:t>española y el franquismo a los que esta nueva norma pretende dar respuesta. Cuestiones pendientes y de especial importancia que han sido, además, puestas de manifiesto por distintos organismos internacionales en el ámbito de los derechos humanos.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Con posterioridad a la aprobación de la Ley 52/2007, de 26 de diciembre, la perspectiva internacional de los derechos humanos en relación con las víctimas y las graves violaciones a los derechos humanos cometidas durante la guerra civil española y la dictadura franquista cobran una particular relevancia, con hitos significativos como la ratificación y entrada en vigor de la  Convención Internacional para la Protección de todas las Personas contra las Desapariciones Forzadas, de 20 de diciembre de 2006, y ratificada por España el 14 de julio de 2009.</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Durante las Legislaturas X y XI, en las que se constatan la mencionada parálisis estatal y la generalización de las políticas de memoria autonómicas, tienen lugar dos hechos fundamentales en la internacionalización creciente del desarrollo de las políticas de memoria democrática en España. Las visitas impulsadas por las Naciones Unidas del Grupo de Trabajo sobre Desapariciones Forzadas e involuntarias y el Relator especial para la verdad, justicia, reparación y garantías de no repetición, Pablo de </w:t>
      </w:r>
      <w:proofErr w:type="spellStart"/>
      <w:r>
        <w:rPr>
          <w:rFonts w:ascii="Arial" w:eastAsia="Arial" w:hAnsi="Arial" w:cs="Arial"/>
        </w:rPr>
        <w:t>Greiff</w:t>
      </w:r>
      <w:proofErr w:type="spellEnd"/>
      <w:r>
        <w:rPr>
          <w:rFonts w:ascii="Arial" w:eastAsia="Arial" w:hAnsi="Arial" w:cs="Arial"/>
        </w:rPr>
        <w:t xml:space="preserve">, se plasmaron en dos influyentes informes en 2014.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En sus observaciones y recomendaciones al España coinciden en señalar la necesidad de asumir las obligaciones internacionales mediante un claro liderazgo y compromiso en la búsqueda de personas desaparecidas durante la Guerra Civil y la Dictadura, como obligación de una política de Estado integral, coherente, permanente, cooperativa y colaborativa. Preocupados por el modelo vigente de “privatización” de las exhumaciones, que delega esta responsabilidad a las víctimas y asociaciones, observan que no cabe renuencia de ningún tipo a que sea el Estado el que asuma la responsabilidad en los procesos de exhumaciones, y resuelva de este modo los inconvenientes generados en materia de coordinación y metodología. Ambos informes tienen, asimismo, el valor de recoger la opinión y reclamaciones de las asociaciones de víctimas y otros actores sociales y políticos relevantes en el país, a la vez que colocar el caso español en un contexto global, mostrando sus especificidades, pero también sus semejanzas, en relación con procesos de memoria equivalentes en otros lugares del mundo.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A mediados de 2018 se retomaron las políticas públicas en favor del reconocimiento de la memoria histórica en el ámbito estatal, a través de numerosas medidas como la creación, por primera vez en nuestra historia democrática, de una Dirección General para la Memoria Histórica, o la conmemoración del 80 aniversario del exilio republicano español en homenaje y recuerdo a cerca de medio  millón de compatriotas  que tuvieron que tomar el camino del exilio como consecuencia de la guerra civil española y la dictadura franquista.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La exhumación de los restos del dictador Francisco Franco del Valle de los Caídos el 24 de octubre de 2019, en cumplimiento del mandato parlamentario de 11 de mayo de 2017, ha constituido un hito histórico sumamente simbólico y de ruptura con el pasado franquista que, avalado por los tres poderes constitucionales, ha supuesto un acto de justicia y dignidad con las víctimas del franquismo y un triunfo de nuestra democracia.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Es una responsabilidad directa del Estado la adecuación permanente de las políticas de memoria democrática a las nuevas necesidades a escala nacional, autonómica y local, así como a los nuevos paradigmas memoriales y de defensa de los derechos humanos que se articulan en el ámbito internacional.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Por tanto, la transformación de las circunstancias sociales y políticas, la constatación de la dificultad en la implementación de algunas medidas previstas en el articulado de la Ley 52/2007, de 26 de diciembre, el desarrollo de políticas de memoria autonómicas y la experiencia derivada de ellas, las aportaciones y nuevas demandas del movimiento memorialista y la sociedad civil, el avance global de las culturas y prácticas de los derechos humanos, y las valoraciones concretas de la Ley realizadas por </w:t>
      </w:r>
      <w:proofErr w:type="spellStart"/>
      <w:r>
        <w:rPr>
          <w:rFonts w:ascii="Arial" w:eastAsia="Arial" w:hAnsi="Arial" w:cs="Arial"/>
        </w:rPr>
        <w:t>ONGs</w:t>
      </w:r>
      <w:proofErr w:type="spellEnd"/>
      <w:r>
        <w:rPr>
          <w:rFonts w:ascii="Arial" w:eastAsia="Arial" w:hAnsi="Arial" w:cs="Arial"/>
        </w:rPr>
        <w:t xml:space="preserve"> prestigiosas en el ámbito de los derechos humanos y organismos internacionales como las Naciones Unidas, aconsejan ajustes significativos en el marco legislativo estatal, que se plasman en la presente Ley. En definitiva, se trata de articular una respuesta del Estado para asumir los hechos del pasado en su integridad, rehabilitando la memoria de las víctimas, reparando los daños causados y evitando la repetición de enfrentamientos y cualquier justificación de regímenes totalitarios.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Con esta Ley se pretende cerrar una deuda de la democracia española con su pasado y fomentar un discurso común basado en la defensa de la paz, el pluralismo y la condena de toda forma de totalitarismo político que ponga en </w:t>
      </w:r>
      <w:r>
        <w:rPr>
          <w:rFonts w:ascii="Arial" w:eastAsia="Arial" w:hAnsi="Arial" w:cs="Arial"/>
        </w:rPr>
        <w:lastRenderedPageBreak/>
        <w:t>riesgo el efectivo disfrute de los derechos y libertades inherentes a la dignidad humana. Y, en esta medida, es también un compromiso con el futuro, defendiendo la democracia y los derechos fundamentales como paradigma común y horizonte imborrable de nuestra vida pública, convivencia y conciencia ciudadana.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center"/>
        <w:rPr>
          <w:rFonts w:ascii="Arial" w:eastAsia="Arial" w:hAnsi="Arial" w:cs="Arial"/>
        </w:rPr>
      </w:pPr>
      <w:r>
        <w:rPr>
          <w:rFonts w:ascii="Arial" w:eastAsia="Arial" w:hAnsi="Arial" w:cs="Arial"/>
        </w:rPr>
        <w:t>IV</w:t>
      </w:r>
    </w:p>
    <w:p w:rsidR="00713587" w:rsidRDefault="00713587">
      <w:pPr>
        <w:spacing w:line="288" w:lineRule="auto"/>
        <w:ind w:left="360" w:right="172"/>
        <w:jc w:val="center"/>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La Ley se compone de cinco Títulos estructurados en torno al protagonismo y la reparación integral de las víctimas de la Guerra Civil y la Dictadura, así como a las políticas de verdad, justicia, reparación y garantías de no repetición que han sido objeto de las recomendaciones de los organismos internacionales de derechos humanos al Estado.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El Título Preliminar, de disposiciones generales, establece junto con el objeto de la ley, los principios y valores democráticos en los que se asienta la misma, que busca fomentar, promover y garantizar el conocimiento de la larga historia por las libertades y la democracia en España.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El Título I, sobre las víctimas, dispone a quién se considera como tal a efectos de esta ley, en la línea de la Resolución 60/147, aprobada por la Asamblea General de Naciones Unidas, de 16 de diciembre de 2005, estableciéndose que las víctimas de la Guerra Civil y del franquismo lo serán igualmente a los efectos de la aplicación del Estatuto de la víctima del delito aprobado por la Ley 4/2015, de 27 de abril, del Estatuto de la víctima del delito. Como paso subsiguiente a la injusticia de las sentencias y la ilegitimidad de los órganos que las dictaron, ya declaradas por la Ley 52/2007, de 26 de diciembre, y al carecer de cualquier vigencia jurídica conforme a la interpretación jurisprudencial relativos a la revisión de sentencias, se declara el carácter radicalmente nulo de todas las condenas y sanciones producidas durante la Guerra Civil y la Dictadura por razones políticas, ideológicas, de conciencia o creencia religiosa o</w:t>
      </w:r>
      <w:r>
        <w:rPr>
          <w:rFonts w:ascii="Arial" w:eastAsia="Arial" w:hAnsi="Arial" w:cs="Arial"/>
          <w:i/>
          <w:color w:val="FF0000"/>
        </w:rPr>
        <w:t xml:space="preserve"> </w:t>
      </w:r>
      <w:r>
        <w:rPr>
          <w:rFonts w:ascii="Arial" w:eastAsia="Arial" w:hAnsi="Arial" w:cs="Arial"/>
          <w:i/>
        </w:rPr>
        <w:t>de orientación e identidad sexual</w:t>
      </w:r>
      <w:r>
        <w:rPr>
          <w:rFonts w:ascii="Arial" w:eastAsia="Arial" w:hAnsi="Arial" w:cs="Arial"/>
        </w:rPr>
        <w:t xml:space="preserve">.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Se declara el 31 de octubre como el día de recuerdo y homenaje a todas las víctimas, fecha en la que se aprobó en 1978 la Constitución española por las Cortes en sesiones plenarias del Congreso de los Diputados y del Senado, y en la que se produjo veintinueve años después la aprobación en pleno de la Ley 52/2007, de 26 de diciembre, conocida como de Memoria Histórica. </w:t>
      </w:r>
      <w:proofErr w:type="gramStart"/>
      <w:r>
        <w:rPr>
          <w:rFonts w:ascii="Arial" w:eastAsia="Arial" w:hAnsi="Arial" w:cs="Arial"/>
        </w:rPr>
        <w:t>Asimismo</w:t>
      </w:r>
      <w:proofErr w:type="gramEnd"/>
      <w:r>
        <w:rPr>
          <w:rFonts w:ascii="Arial" w:eastAsia="Arial" w:hAnsi="Arial" w:cs="Arial"/>
        </w:rPr>
        <w:t xml:space="preserve"> se declara el 8 de mayo como día de recuerdo y homenaje a las </w:t>
      </w:r>
      <w:r>
        <w:rPr>
          <w:rFonts w:ascii="Arial" w:eastAsia="Arial" w:hAnsi="Arial" w:cs="Arial"/>
        </w:rPr>
        <w:lastRenderedPageBreak/>
        <w:t>víctimas del exilio como consecuencia de la Guerra Civil y la Dictadura, fecha en la que celebra la victoria europea sobre el fascismo y el nazismo, viniendo a señalar la contribución de los hombres y mujeres del exilio a la derrota del fascismo, entrando a formar parte ineludible de la memoria democrática europea.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Por último, atendiendo a la recomendación del Informe del Grupo de Trabajo sobre las Desapariciones Forzadas o Involuntarias de las Naciones Unidas, se regula la elaboración de un Censo Nacional de Víctimas de la Guerra Civil y la Dictadura, dando respuesta a la fragmentación y dispersión de la información disponible sobre las desapariciones forzadas en ese periodo.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El Título II, sobre las políticas públicas integrales de memoria democrática, consta de cuatro capítulos y se abre con una mención especial al papel activo de las mujeres en España como protagonistas de una larga lucha por la democracia y los valores de libertad, igualdad y solidaridad, que por otra parte es transversal en todo el texto de la ley.</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En esas luchas y sufrimientos las mujeres españolas desempeñaron un papel singular, por ser sujetos activos en la vida intelectual, profesional, política y sindical de nuestro país. Durante la Guerra Civil y la Dictadura, las mujeres sufrieron humillaciones, vejaciones, violaciones, persecución, violencia o castigos </w:t>
      </w:r>
      <w:r>
        <w:rPr>
          <w:rFonts w:ascii="Arial" w:eastAsia="Arial" w:hAnsi="Arial" w:cs="Arial"/>
          <w:i/>
        </w:rPr>
        <w:t>por su actividad pública o política</w:t>
      </w:r>
      <w:r>
        <w:rPr>
          <w:rFonts w:ascii="Arial" w:eastAsia="Arial" w:hAnsi="Arial" w:cs="Arial"/>
        </w:rPr>
        <w:t>, por el mero hecho de ser mujeres o por haber sido madres, compañeras o hijas de perseguidos, represaliados o asesinados. Asimismo, y en diferentes momentos de la historia, fueron represaliadas por haber intentado ejercer su derecho al libre desarrollo personal y haber transgredido los límites de la feminidad tradicional. Por tanto, en la promoción y transmisión del conocimiento ha de recogerse su contribución a la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La articulación de estas políticas se asegura a través de un plan cuatrienal de actuaciones y, en el ámbito territorial, con la creación de un Consejo Territorial como instrumento de cooperación entre el Estado y las comunidades autónomas, con participación de las entidades locales a través de la Federación Española de Municipios y Provincias.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El Capítulo I de este Título, sobre el derecho a la verdad de las víctimas, se compone a su vez de dos secciones. La Sección 1ª, que incluye medidas ya contenidas en la Ley 52/2007, de 26 de diciembre, como el mapa de fosas, </w:t>
      </w:r>
      <w:r>
        <w:rPr>
          <w:rFonts w:ascii="Arial" w:eastAsia="Arial" w:hAnsi="Arial" w:cs="Arial"/>
        </w:rPr>
        <w:lastRenderedPageBreak/>
        <w:t xml:space="preserve">protocolo de exhumaciones y régimen de autorizaciones, recoge las recomendaciones de distintos organismos internacionales en materia de derechos humanos al establecer, de manera expresa, que la búsqueda de personas desaparecidas durante la Guerra Civil y la Dictadura corresponderá a la Administración General del Estado, sin perjuicio de las competencias de otras administraciones públicas relacionadas con dicha actividad, reforzando la colaboración entre las mismas, y liderando así una acción de dignificación colectiva de nuestro país, que no puede tolerar los enterramientos indignos para ninguna persona. Asimismo, se crea el Banco Nacional de ADN de Víctimas de la Guerra Civil y la Dictadura. De esta manera, se asume como política de Estado la legítima demanda de los ciudadanos y ciudadanas que ignoran el paradero de sus familiares, la mayoría en fosas comunes, para que puedan darles digna sepultura, poniendo fin a la existencia de miles de desaparecidos en España, que </w:t>
      </w:r>
      <w:proofErr w:type="spellStart"/>
      <w:r>
        <w:rPr>
          <w:rFonts w:ascii="Arial" w:eastAsia="Arial" w:hAnsi="Arial" w:cs="Arial"/>
        </w:rPr>
        <w:t>revictimizan</w:t>
      </w:r>
      <w:proofErr w:type="spellEnd"/>
      <w:r>
        <w:rPr>
          <w:rFonts w:ascii="Arial" w:eastAsia="Arial" w:hAnsi="Arial" w:cs="Arial"/>
        </w:rPr>
        <w:t xml:space="preserve"> a sus familias.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La Sección 2ª de este Capítulo I se dedica a los archivos y documentación, verdadera memoria escrita del Estado, regulando el acceso a los fondos y archivos públicos y privados, con una mención especial al Centro Documental de la Memoria Histórica de Salamanca, teniendo en consideración los criterios de las políticas archivísticas en defensa de los derechos humanos elaborados por la UNESCO y el Consejo Internacional de Archivos. </w:t>
      </w:r>
      <w:r>
        <w:t xml:space="preserve"> </w:t>
      </w:r>
      <w:r>
        <w:rPr>
          <w:rFonts w:ascii="Arial" w:eastAsia="Arial" w:hAnsi="Arial" w:cs="Arial"/>
        </w:rPr>
        <w:t>En este sentido, y por lo que se refiere al plazo de un año previsto en la disposición final sexta para que se modifique la Ley 9/1968, de 5 de abril, sobre Secretos Oficiales, con el objetivo de garantizar el derecho de acceso a la información pública de todos los archivos pertenecientes a la Administración General del Estado referidos a la Guerra Civil y la Dictadura, no deben dejar de reconocerse los significativos avances que se han producido en estos últimos dos años a través de las resoluciones ministeriales de 20 de septiembre de 2018, de 30 de enero de 2019, y de 22 de julio de 2020. Entendiendo que dicha Ley ya carece de efectos retroactivos, estas resoluciones se han aplicado en los archivos históricos dependientes del Ministerio de Defensa para autorizar el acceso público a una gran cantidad de fondos sobre la Guerra Civil y la Dictadura, incluso los señalados con marcas de reserva o confidencialidad, siempre que los documentos correspondientes fueran anteriores al 26 de abril de 1968, fecha de entrada en vigor de la Ley de Secretos Oficiales y no quedara realmente comprometida la seguridad o la defensa del Estado.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b/>
        </w:rPr>
      </w:pPr>
      <w:r>
        <w:rPr>
          <w:rFonts w:ascii="Arial" w:eastAsia="Arial" w:hAnsi="Arial" w:cs="Arial"/>
        </w:rPr>
        <w:t xml:space="preserve">El Capítulo II regula el derecho a la justicia, que habrá de ser garantizado a través de investigaciones públicas que esclarezcan las violaciones de </w:t>
      </w:r>
      <w:r>
        <w:rPr>
          <w:rFonts w:ascii="Arial" w:eastAsia="Arial" w:hAnsi="Arial" w:cs="Arial"/>
        </w:rPr>
        <w:lastRenderedPageBreak/>
        <w:t>derechos humanos producidas durante la Guerra Civil y la Dictadura. Con este fin, se crea la Fiscalía de Sala para la investigación de los hechos producidos con ocasión de la Guerra Civil y la Dictadura, incluyendo los que tuvieron lugar hasta la entrada en vigor de la Constitución, que constituyan violaciones de los derechos humanos y del Derecho Internacional Humanitario. A esta Fiscalía se le atribuirán asimismo funciones de impulso de los procesos de búsqueda de las víctimas de los hechos investigados, en coordinación con los órganos de las distintas administraciones con competencias sobre esta materia, para lograr su debida identificación y localización. Se introducen para ello las modificaciones oportunas, a través de la disposición final primera, en la Ley 50/1981, de 30 de diciembre, por la que se regula el Estatuto Orgánico del Ministerio Fiscal.</w:t>
      </w:r>
      <w:r>
        <w:rPr>
          <w:rFonts w:ascii="Arial" w:eastAsia="Arial" w:hAnsi="Arial" w:cs="Arial"/>
          <w:b/>
        </w:rPr>
        <w:t xml:space="preserve"> </w:t>
      </w:r>
      <w:r>
        <w:rPr>
          <w:rFonts w:ascii="Arial" w:eastAsia="Arial" w:hAnsi="Arial" w:cs="Arial"/>
        </w:rPr>
        <w:t xml:space="preserve">Finalmente en este ámbito de la tutela judicial procede destacar que la disposición final segunda, mediante la modificación de la Ley 15/2015, de 2 de julio, de la Jurisdicción Voluntaria, reintroduce la figura del expediente de información para la perpetua memoria,  que ya formaron parte de nuestro ordenamiento jurídico desde la Ley de Enjuiciamiento Civil de 1881 hasta la reforma de la jurisdicción voluntaria en 2015, como una vía que permite la obtención de un declaración sobre los hechos sucedidos y posibilita la identificación y exhumación de víctimas de la Guerra Civil y la Dictadura y, a través de ella, la digna sepultura de las víctimas.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El Capítulo III se refiere a la reparación. Junto a las medidas que se han venido desplegando desde la Transición, y que permanecen en el ordenamiento jurídico, se incorporan actuaciones específicas que se refieren a los bienes expoliados durante la Guerra Civil y la Dictadura, mediante la realización de una auditoría de los mismos y en consecuencia la implementación de las posibles vías de reconocimiento a los afectados. Desde un punto de vista particular, y por su carácter simbólico, la disposición adicional octava prevé la restitución de bienes incautados a las fuerzas políticas durante la Dictadura cuando lo fueron en el extranjero como consecuencia de procesos judiciales o administrativos que no respetaron las debidas garantías. Asimismo, se recoge el reconocimiento y reparación de las víctimas que realizaron trabajos forzados durante la Guerra Civil y la Dictadura, entendiendo por tales, de acuerdo con el Convenio de la Organización Internacional del Trabajo, de 28 de junio de 1930, todo trabajo o servicio exigido a un individuo bajo la amenaza de una pena cualquiera y para el cual dicho individuo no se ofrece voluntariamente. Por último, como medida reparadora de las personas que sufrieron el exilio, se dispone en la disposición adicional séptima una regla para la adquisición de la </w:t>
      </w:r>
      <w:r>
        <w:rPr>
          <w:rFonts w:ascii="Arial" w:eastAsia="Arial" w:hAnsi="Arial" w:cs="Arial"/>
        </w:rPr>
        <w:lastRenderedPageBreak/>
        <w:t xml:space="preserve">nacionalidad española para nacidos fuera de España de padres o </w:t>
      </w:r>
      <w:bookmarkStart w:id="4" w:name="_GoBack"/>
      <w:bookmarkEnd w:id="4"/>
      <w:r>
        <w:rPr>
          <w:rFonts w:ascii="Arial" w:eastAsia="Arial" w:hAnsi="Arial" w:cs="Arial"/>
        </w:rPr>
        <w:t>madres, abuelas o abuelos, exiliados por razones políticas, ideológicas o de creencia.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El Capítulo IV se refiere al deber de memoria democrática, como garantía de no repetición, en torno a cuatro secciones. La Sección 1ª contiene las medidas precisas sobre los símbolos públicos, que deben tener como finalidad el encuentro de los ciudadanos en paz y democracia y nunca una expresión ofensiva o de agravio. El fomento de la cohesión y solidaridad entre las diversas generaciones de españoles y españolas en torno a los principios, valores y libertades constitucionales, y la necesaria supresión de elementos de división entre la ciudadanía, son objeto de esta ley. La incompatibilidad de la democracia española con la exaltación del alzamiento militar, la Guerra Civil o el régimen dictatorial, hace necesario introducir las medidas que eviten situaciones de cualquier naturaleza o actos de enaltecimiento de los mismos o sus dirigentes. Con el mismo objetivo, la sección 2ª se ocupa de la revocación de distinciones, nombramientos, títulos y honores institucionales, de condecoraciones y recompensas o supresión de títulos nobiliarios, que hayan sido concedidos o supongan la exaltación de la Guerra Civil y la Dictadura.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La Sección 3ª de este capítulo recoge, con una finalidad pedagógica de fomento de los valores democráticos y de convivencia, distintas medidas relacionadas con los diferentes ámbitos educativos y de formación del profesorado, la investigación, divulgación y otras formas de sensibilización, con el objetivo común de fomentar, promover y garantizar en la ciudadanía el conocimiento de la historia democrática española y la lucha por los valores y libertades democráticas, incluidas acciones dirigidas a la necesaria capacitación en materia de derechos humanos y memoria democrática de empleadas y empleados públicos. Singularmente, la disposición final séptima contempla la constitución de una Fundación del Sector Público, cuyo objeto será contribuir al conocimiento, difusión y promoción de la historia de la democracia en España a través de la preservación de los archivos de los Presidentes del Gobierno Constitucionales.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La Sección 4ª regula los lugares de memoria democrática, que tendrán una función conmemorativa y didáctica, para los que se crea un inventario como instrumento de publicidad y conocimiento de los mismos. En cuanto al Valle de los Caídos, además de mantener las normas ya recogidas en la Ley 52/2007, de 26 de diciembre, que permitieron la salida de los restos del dictador Francisco Franco del mausoleo, se enfatiza su </w:t>
      </w:r>
      <w:proofErr w:type="spellStart"/>
      <w:r>
        <w:rPr>
          <w:rFonts w:ascii="Arial" w:eastAsia="Arial" w:hAnsi="Arial" w:cs="Arial"/>
        </w:rPr>
        <w:t>resignificación</w:t>
      </w:r>
      <w:proofErr w:type="spellEnd"/>
      <w:r>
        <w:rPr>
          <w:rFonts w:ascii="Arial" w:eastAsia="Arial" w:hAnsi="Arial" w:cs="Arial"/>
        </w:rPr>
        <w:t xml:space="preserve"> como lugar de </w:t>
      </w:r>
      <w:r>
        <w:rPr>
          <w:rFonts w:ascii="Arial" w:eastAsia="Arial" w:hAnsi="Arial" w:cs="Arial"/>
        </w:rPr>
        <w:lastRenderedPageBreak/>
        <w:t>memoria democrática con una finalidad pedagógica y se reconoce el derecho de los familiares a recuperar los restos de sus ascendientes. Finalmente, se declara extinguida la Fundación de la Santa Cruz del Valle de los Caídos, disponiendo que se establezca por real decreto el nuevo marco jurídico aplicable. Por último, se prevé que la denominación tradicional del llamado “Panteón de Hombres Ilustres” pase a ser Panteón de España, con la finalidad mantener el recuerdo y proyección de los representantes de la historia de la democracia española, así como de quienes hayan destacado por sus excepcionales servicios a España en la garantía de la convivencia democrática, la defensa de la paz y los derechos humanos o el progreso de la cultura en todas sus manifestaciones.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El Título III, del movimiento memorialista, reconoce la labor realizada durante décadas por la sociedad civil en la defensa de la memoria democrática y la dignidad de las víctimas, disponiendo la creación de un registro de entidades memorialistas. Por otra parte, se crea un Consejo de Memoria Democrática como órgano consultivo y de participación de dichas entidades, que podrá crear un grupo de trabajo que elabore un informe para sistematizar la información existente sobre las violaciones de derechos humanos durante la Guerra Civil y la Dictadura, y proponer un plan ordenado de investigaciones. Asimismo, prevé la constitución de una comisión estatal de la Memoria y la Reconciliación con el Pueblo Gitano en España.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Finalmente, el Título IV incorpora un régimen sancionador regulador de las infracciones y sanciones, en garantía del cumplimiento de lo establecido en la ley y como medio de evitar la humillación que pudiera sentir cualquier víctima de la Guerra Civil o la Dictadura, así como defender la dignidad de los principios y valores constitucionales en el espacio público.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La parte final tiene ocho disposiciones adicionales, una disposición transitoria, una disposición derogatoria y ocho disposiciones finales.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b/>
        </w:rPr>
      </w:pPr>
      <w:r>
        <w:rPr>
          <w:rFonts w:ascii="Arial" w:eastAsia="Arial" w:hAnsi="Arial" w:cs="Arial"/>
        </w:rPr>
        <w:t xml:space="preserve">Entre las disposiciones adicionales, al margen de la séptima y octava ya mencionadas anteriormente, la disposición adicional primera introduce como novedad la acción pública para exigir ante los órganos administrativos y los tribunales contencioso-administrativos la estricta observancia de las obligaciones recogidas en la presente ley. La segunda regula el procedimiento para el cumplimiento de lo dispuesto en la Ley respecto de los restos mortales que yazcan en el Valle de los Caídos. La disposición adicional tercera contiene </w:t>
      </w:r>
      <w:r>
        <w:rPr>
          <w:rFonts w:ascii="Arial" w:eastAsia="Arial" w:hAnsi="Arial" w:cs="Arial"/>
        </w:rPr>
        <w:lastRenderedPageBreak/>
        <w:t>las previsiones sobre retirada de recompensas previstas en la Ley 5/1964, de 29 de abril, sobre Condecoraciones Policiales, y de la Ley 19/1976, de 29 de mayo, sobre creación de la Orden del Mérito del Cuerpo de la Guardia Civil.</w:t>
      </w:r>
      <w:r>
        <w:rPr>
          <w:rFonts w:ascii="Arial" w:eastAsia="Arial" w:hAnsi="Arial" w:cs="Arial"/>
          <w:b/>
        </w:rPr>
        <w:t xml:space="preserve"> </w:t>
      </w:r>
      <w:r>
        <w:rPr>
          <w:rFonts w:ascii="Arial" w:eastAsia="Arial" w:hAnsi="Arial" w:cs="Arial"/>
        </w:rPr>
        <w:t xml:space="preserve">La disposición adicional cuarta establece un mandato al Gobierno para dictar las disposiciones necesarias para facilitar el acceso a la consulta de los libros de las actas de defunciones de los Registros Civiles. La disposición adicional quinta regula como causa de extinción de fundaciones, por no constituir fin de interés general, la apología del franquismo y la incitación directa o indirecta al odio o violencia contra las víctimas del golpe de Estado, de la guerra civil española o del franquismo. La disposición adicional sexta dispone que se considera que no responden a la promoción de fines de interés general aquellas asociaciones que entre sus fines o con sus actividades lleven a cabo apología del franquismo o la incitación directa o indirecta al odio o violencia contra las víctimas del golpe de Estado, de la guerra civil española o del franquismo, por su condición de tales, así como las consecuencias de tal previsión.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La disposición transitoria única establece el régimen jurídico del Valle de los Caídos, hasta la determinación de la nueva institución directora, sus fines, objetivos y medios.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La disposición derogatoria deroga la Ley 52/2007, de 26 de diciembre, dado que su regulación ha quedado, con las actualizaciones precisas, en el contenido de esta ley, y particularmente las medidas de reparación económica que contenía subsisten en el ordenamiento jurídico como parte de otras disposiciones o agotaron sus efectos en el plazo indicado. En este sentido, mediante la expresa derogación de las disposiciones adicionales trigésima tercera y trigésima sexta de la Ley 17/2012, de 27 de diciembre, de Presupuestos Generales del Estado para el año 2013, restaura la completa vigencia de las pensiones en favor de huérfanos mayores de veintiún años no incapacitados al amparo de la legislación vigente a 31 de diciembre de 1984, o de la legislación especial de guerra, así como determinadas indemnizaciones por tiempo de prisión y a favor de expresos sociales. Por último, se procede a la derogación de todas las disposiciones normativas que venían rigiendo el Valle de los Caídos.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Las disposiciones finales primera y segunda incorporan las modificaciones ya mencionadas de la Ley 50/1981, de 30 de diciembre, y la Ley 15/2015, de 2 de julio, de la Jurisdicción Voluntaria. Las disposiciones finales tercera y cuarta se </w:t>
      </w:r>
      <w:r>
        <w:rPr>
          <w:rFonts w:ascii="Arial" w:eastAsia="Arial" w:hAnsi="Arial" w:cs="Arial"/>
        </w:rPr>
        <w:lastRenderedPageBreak/>
        <w:t xml:space="preserve">refieren, respectivamente, a los títulos competenciales y a las habilitaciones para el desarrollo de la Ley. En la disposición final quinta se señala que se promoverá la modificación de la Ley Orgánica 1/2002, de 22 de marzo, reguladora del Derecho de Asociación, con el fin de contemplar como causa de disolución de las asociaciones la realización pública de apología del franquismo y la incitación directa o indirecta al odio o violencia contra las víctimas de la guerra civil española o del franquismo por su condición de tales. La disposición final sexta incorpora el mandato de modificación de la Ley de Secretos Oficiales y la disposición final séptima establece que se creará una Fundación del Sector Público que tendrá como objeto el mantenimiento, preservación y custodia de los archivos de los Presidentes del Gobierno elegidos democráticamente. Finalmente, la disposición final octava contiene las previsiones sobre la entrada en vigor. </w:t>
      </w:r>
    </w:p>
    <w:p w:rsidR="00713587" w:rsidRDefault="00713587">
      <w:pPr>
        <w:spacing w:line="288" w:lineRule="auto"/>
        <w:ind w:left="360" w:right="172"/>
        <w:jc w:val="both"/>
        <w:rPr>
          <w:rFonts w:ascii="Arial" w:eastAsia="Arial" w:hAnsi="Arial" w:cs="Arial"/>
          <w:color w:val="FF0000"/>
        </w:rPr>
      </w:pPr>
    </w:p>
    <w:p w:rsidR="00713587" w:rsidRDefault="00713587">
      <w:pPr>
        <w:spacing w:line="288" w:lineRule="auto"/>
        <w:ind w:left="360" w:right="172"/>
        <w:jc w:val="both"/>
        <w:rPr>
          <w:rFonts w:ascii="Arial" w:eastAsia="Arial" w:hAnsi="Arial" w:cs="Arial"/>
          <w:b/>
        </w:rPr>
      </w:pPr>
    </w:p>
    <w:p w:rsidR="00713587" w:rsidRDefault="00713587">
      <w:pPr>
        <w:spacing w:line="288" w:lineRule="auto"/>
        <w:ind w:left="360" w:right="172"/>
        <w:jc w:val="both"/>
        <w:rPr>
          <w:rFonts w:ascii="Arial" w:eastAsia="Arial" w:hAnsi="Arial" w:cs="Arial"/>
          <w:b/>
        </w:rPr>
      </w:pP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center"/>
        <w:rPr>
          <w:rFonts w:ascii="Arial" w:eastAsia="Arial" w:hAnsi="Arial" w:cs="Arial"/>
          <w:b/>
        </w:rPr>
      </w:pPr>
      <w:r>
        <w:rPr>
          <w:rFonts w:ascii="Arial" w:eastAsia="Arial" w:hAnsi="Arial" w:cs="Arial"/>
          <w:b/>
        </w:rPr>
        <w:t>TÍTULO PRELIMINAR</w:t>
      </w:r>
    </w:p>
    <w:p w:rsidR="00713587" w:rsidRDefault="001B676B">
      <w:pPr>
        <w:spacing w:line="288" w:lineRule="auto"/>
        <w:ind w:left="360" w:right="172"/>
        <w:jc w:val="center"/>
        <w:rPr>
          <w:rFonts w:ascii="Arial" w:eastAsia="Arial" w:hAnsi="Arial" w:cs="Arial"/>
          <w:b/>
        </w:rPr>
      </w:pPr>
      <w:r>
        <w:rPr>
          <w:rFonts w:ascii="Arial" w:eastAsia="Arial" w:hAnsi="Arial" w:cs="Arial"/>
          <w:b/>
        </w:rPr>
        <w:t>DISPOSICIONES GENERALES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bookmarkStart w:id="5" w:name="_2et92p0" w:colFirst="0" w:colLast="0"/>
      <w:bookmarkEnd w:id="5"/>
      <w:r>
        <w:rPr>
          <w:rFonts w:ascii="Arial" w:eastAsia="Arial" w:hAnsi="Arial" w:cs="Arial"/>
          <w:b/>
        </w:rPr>
        <w:t>Artículo 1. Objeto y finalidad.</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1. La presente ley tiene por objeto la recuperación, salvaguarda y difusión de la memoria democrática, como conocimiento de la reivindicación y defensa de los valores democráticos y los derechos y libertades fundamentales a lo largo de la historia contemporánea de España, con el fin de fomentar la cohesión y solidaridad entre las diversas generaciones en torno a los principios, valores y libertades constitucionales.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2. Asimismo, es objeto de la ley el reconocimiento de quienes padecieron persecución o violencia, por razones políticas, ideológicas, de conciencia o creencia religiosa, de </w:t>
      </w:r>
      <w:r>
        <w:rPr>
          <w:rFonts w:ascii="Arial" w:eastAsia="Arial" w:hAnsi="Arial" w:cs="Arial"/>
          <w:i/>
        </w:rPr>
        <w:t xml:space="preserve">orientación e identidad sexual, </w:t>
      </w:r>
      <w:r>
        <w:rPr>
          <w:rFonts w:ascii="Arial" w:eastAsia="Arial" w:hAnsi="Arial" w:cs="Arial"/>
        </w:rPr>
        <w:t>durante el período comprendido entre el golpe de Estado de 18 de julio de 1936, la Guerra Civil y la Dictadura franquista hasta la promulgación de la Constitución Española de 1978, así como promover su reparación moral y la recuperación de su memoria personal, familiar y colectiva, adoptar medidas complementarias destinadas a suprimir elementos de división entre la ciudadanía y promover lazos de unión en torno a los valores, principios y derechos constitucionales.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3. En afirmación de los principios y valores democráticos y la dignidad de las víctimas, forma parte del objeto de esta ley el repudio y condena del golpe de Estado del 18 de julio de 1936 y la posterior dictadura.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2. Principios generales.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Esta ley se fundamenta en los principios de verdad, justicia, reparación y garantías de no repetición, así como en los valores democráticos de concordia, convivencia, pluralismo político, defensa de los derechos humanos, cultura de paz e igualdad de hombres y mujeres.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De acuerdo con el artículo 10.2 de la Constitución Española, los poderes públicos interpretarán la presente ley de conformidad con los tratados internacionales de derechos humanos en la materia ratificados por España, sin perjuicio de su aplicación directa cuando correspondiera.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center"/>
        <w:rPr>
          <w:rFonts w:ascii="Arial" w:eastAsia="Arial" w:hAnsi="Arial" w:cs="Arial"/>
          <w:b/>
        </w:rPr>
      </w:pPr>
      <w:r>
        <w:rPr>
          <w:rFonts w:ascii="Arial" w:eastAsia="Arial" w:hAnsi="Arial" w:cs="Arial"/>
          <w:b/>
        </w:rPr>
        <w:t>TÍTULO I</w:t>
      </w:r>
    </w:p>
    <w:p w:rsidR="00713587" w:rsidRDefault="001B676B">
      <w:pPr>
        <w:spacing w:line="288" w:lineRule="auto"/>
        <w:ind w:left="360" w:right="172"/>
        <w:jc w:val="center"/>
        <w:rPr>
          <w:rFonts w:ascii="Arial" w:eastAsia="Arial" w:hAnsi="Arial" w:cs="Arial"/>
          <w:b/>
        </w:rPr>
      </w:pPr>
      <w:r>
        <w:rPr>
          <w:rFonts w:ascii="Arial" w:eastAsia="Arial" w:hAnsi="Arial" w:cs="Arial"/>
          <w:b/>
        </w:rPr>
        <w:t>DE LAS VICTIMAS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3. Víctimas.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A los efectos de esta ley se considera víctima a toda persona, con independencia de su nacionalidad, que haya sufrido, individual o colectivamente, daño físico, moral o psicológico y daños patrimoniales, o menoscabo sustancial de sus derechos fundamentales, como consecuencia de acciones u omisiones que constituyan violación de los derechos humanos durante el periodo que abarca la Guerra Civil y la Dictadura, incluyendo el transcurrido hasta la entrada en vigor de la Constitución española de 1978, y en particular 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a) Las personas fallecidas o desaparecidas como consecuencia de la Guerra Civil y la Dictadura.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bookmarkStart w:id="6" w:name="_tyjcwt" w:colFirst="0" w:colLast="0"/>
      <w:bookmarkEnd w:id="6"/>
      <w:r>
        <w:rPr>
          <w:rFonts w:ascii="Arial" w:eastAsia="Arial" w:hAnsi="Arial" w:cs="Arial"/>
        </w:rPr>
        <w:t>b) Las personas privadas de libertad o que padecieron deportación, trabajos forzosos o internamientos en campos de concentración, colonias penitenciarias militarizadas, dentro o fuera España, por su defensa de la República o por su resistencia al régimen franquista dirigida al restablecimiento de un régimen democrático.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c) Las personas que sufrieron la confinación, torturas y, en muchos casos, la muerte en los campos de concentración nazis.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d) Las personas que se exiliaron como consecuencia de la Guerra Civil y la Dictadura.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u w:val="single"/>
        </w:rPr>
      </w:pPr>
      <w:r>
        <w:rPr>
          <w:rFonts w:ascii="Arial" w:eastAsia="Arial" w:hAnsi="Arial" w:cs="Arial"/>
        </w:rPr>
        <w:t>e) Las personas que padecieron la represión económica con incautaciones y pérdida total o parcial de bienes, multas, inhabilitación y extrañamiento.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f) Las personas que sufrieron represión por razón de su orientación o identidad sexual.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g) Las personas que fueron depuradas o represaliadas profesionalmente por ejercer cargos y empleos o trabajos públicos durante la Segunda República.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h) Las niñas y niños sustraídos y adoptados sin autorización de sus progenitores como consecuencia de la Guerra Civil y la Dictadura, así como sus progenitores, progenitoras, hermanos y hermanas.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i) Las personas que participaron en la guerrilla antifranquista, así como quienes les prestaron apoyo activo como colaboradores, en pro de la recuperación de la democracia.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j) Las personas represaliadas o perseguidas por el uso o difusión de su lengua propia.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k) Las personas que sufrieron persecución o violencia por razón de conciencia o creencias religiosas, así como aquellas personas represaliadas o perseguidas por pertenecer a la masonería y las sociedades teosóficas y similares.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Asimismo, los partidos políticos, sindicatos, minorías étnicas, asociaciones feministas de mujeres, instituciones educativas y agrupaciones culturales represaliadas por la Dictadura serán objeto de las medidas específicas de reconocimiento y reparación contempladas en la ley, en cuanto les resulten de aplicación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Una persona será considerada víctima con independencia de que exista o no autoría conocida de la violación de sus derechos.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bookmarkStart w:id="7" w:name="_3dy6vkm" w:colFirst="0" w:colLast="0"/>
      <w:bookmarkEnd w:id="7"/>
      <w:r>
        <w:rPr>
          <w:rFonts w:ascii="Arial" w:eastAsia="Arial" w:hAnsi="Arial" w:cs="Arial"/>
        </w:rPr>
        <w:t>3. Asimismo, se considerará víctimas a los familiares, entendiéndose por tales a la persona cónyuge de la víctima o persona ligada por análoga relación de afectividad, sus descendientes, sus ascendientes y sus colaterales hasta el cuarto grado y las personas que hayan sufrido daños o represalias al intervenir para prestar asistencia a víctimas en peligro o para impedir la victimización.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4. La consideración de víctima de conformidad con los apartados anteriores implicará la aplicación de la Ley 4/2015, de 27 de abril, del Estatuto de la víctima del delito, en cuanto sea procedente.</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4. Reconocimiento general.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Como expresión del derecho de la ciudadanía a la reparación moral y a la recuperación de su memoria personal, familiar y colectiva, se reconoce y declara el carácter radicalmente nulo de todas las condenas, sanciones y cualesquiera formas de violencia personal producidas por razones políticas, ideológicas, de conciencia o creencia religiosa, durante la Guerra Civil, así como las sufridas por las mismas causas durante la Dictadura.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2. Las razones a que se refiere el apartado anterior incluyen la pertenencia, colaboración o relación con partidos políticos, sindicatos, organizaciones religiosas o militares, minorías étnicas, movimiento feminista, sociedades secretas, logias masónicas, sociedades teosóficas y </w:t>
      </w:r>
      <w:proofErr w:type="gramStart"/>
      <w:r>
        <w:rPr>
          <w:rFonts w:ascii="Arial" w:eastAsia="Arial" w:hAnsi="Arial" w:cs="Arial"/>
        </w:rPr>
        <w:t>similares,  y</w:t>
      </w:r>
      <w:proofErr w:type="gramEnd"/>
      <w:r>
        <w:rPr>
          <w:rFonts w:ascii="Arial" w:eastAsia="Arial" w:hAnsi="Arial" w:cs="Arial"/>
        </w:rPr>
        <w:t xml:space="preserve"> grupos de resistencia guerrillera, así como el ejercicio de conductas vinculadas con opciones culturales, lingüísticas, de género, de orientación o identidad sexual.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Asimismo, se reconoce y declara la injusticia que supuso el exilio de muchos españoles y españolas durante la Guerra Civil y la Dictadura.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5. Declaración de nulidad.</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1. Se declara la ilegitimidad de los tribunales, jurados y cualesquiera otros órganos penales o administrativos que, durante la Guerra Civil, se hubieran constituido para imponer, por motivos políticos, ideológicos, de </w:t>
      </w:r>
      <w:proofErr w:type="gramStart"/>
      <w:r>
        <w:rPr>
          <w:rFonts w:ascii="Arial" w:eastAsia="Arial" w:hAnsi="Arial" w:cs="Arial"/>
        </w:rPr>
        <w:t>conciencia  o</w:t>
      </w:r>
      <w:proofErr w:type="gramEnd"/>
      <w:r>
        <w:rPr>
          <w:rFonts w:ascii="Arial" w:eastAsia="Arial" w:hAnsi="Arial" w:cs="Arial"/>
        </w:rPr>
        <w:t xml:space="preserve"> creencia religiosa, condenas o sanciones de carácter personal, así como la ilegitimidad y nulidad de sus resoluciones.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 xml:space="preserve">2. Por ser contrarios a Derecho y vulnerar las más elementales exigencias del derecho a un juicio justo, se declara en todo caso la ilegitimidad del Tribunal de Represión de la Masonería y el Comunismo, el Tribunal de Orden Público, así como los Tribunales de Responsabilidades Políticas y Consejos de Guerra constituidos por motivos políticos, ideológicos, de </w:t>
      </w:r>
      <w:proofErr w:type="gramStart"/>
      <w:r>
        <w:rPr>
          <w:rFonts w:ascii="Arial" w:eastAsia="Arial" w:hAnsi="Arial" w:cs="Arial"/>
        </w:rPr>
        <w:t>conciencia  o</w:t>
      </w:r>
      <w:proofErr w:type="gramEnd"/>
      <w:r>
        <w:rPr>
          <w:rFonts w:ascii="Arial" w:eastAsia="Arial" w:hAnsi="Arial" w:cs="Arial"/>
        </w:rPr>
        <w:t xml:space="preserve"> creencia religiosa,  de acuerdo con lo dispuesto en el artículo 4 de la presente ley.</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Igualmente, se declaran ilegítimas y nulas, por vicios de forma y fondo, las condenas y sanciones dictadas por motivos políticos, ideológicos o de creencia por cualesquiera tribunales u órganos penales o administrativos durante la Dictadura contra quienes defendieron la legalidad institucional anterior, pretendieron el restablecimiento de un régimen democrático en España o intentaron vivir conforme a opciones amparadas por derechos y libertades hoy reconocidos por la Constitución.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4. La declaración de nulidad que se contiene en los apartados anteriores dará lugar al derecho a obtener una declaración de reconocimiento y reparación personal. En todo caso, esta declaración de nulidad será compatible con cualquier otra fórmula de reparación prevista en el ordenamiento jurídico, sin que pueda producir efectos para el reconocimiento de responsabilidad patrimonial del Estado, de cualquier administración pública o de particulares, ni dar lugar a efecto, reparación o indemnización de índole económica o profesional.</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6. Declaración de reconocimiento y reparación</w:t>
      </w:r>
      <w:r>
        <w:rPr>
          <w:rFonts w:ascii="Arial" w:eastAsia="Arial" w:hAnsi="Arial" w:cs="Arial"/>
        </w:rPr>
        <w:t xml:space="preserve"> </w:t>
      </w:r>
      <w:r>
        <w:rPr>
          <w:rFonts w:ascii="Arial" w:eastAsia="Arial" w:hAnsi="Arial" w:cs="Arial"/>
          <w:b/>
        </w:rPr>
        <w:t>personal.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Se reconoce el derecho a obtener una Declaración de reparación y reconocimiento personal a quienes durante la Guerra Civil y la Dictadura padecieron los efectos de las resoluciones y circunstancias a que se refieren los artículos anteriores. Este derecho es plenamente compatible con los demás derechos y medidas reparadoras reconocidas en normas anteriores, así como con el ejercicio de las acciones a que hubiere lugar ante los tribunales de justicia.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Tendrán derecho a solicitar la Declaración las personas afectadas y, en caso de que las mismas hubieran fallecido, las personas indicadas en el artículo 3.3.</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3. Asimismo, podrán solicitar la Declaración las instituciones públicas, previo acuerdo de su órgano colegiado de gobierno, respecto de quienes hubiesen desempeñado cargo o actividad en las mismas.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4. Las personas o instituciones previstas en los apartados anteriores podrán interesar del departamento competente en materia de memoria democrática la expedición de la Declaración. A tal fin, podrán aportar toda la documentación que sobre los hechos o el procedimiento obre en su poder, así como todos aquellos antecedentes que se consideren oportunos. El departamento competente en materia de memoria democrática denegará la expedición de la Declaración cuando no se ajuste a lo dispuesto en esta ley.</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7. Día de recuerdo y homenaje a todas las víctimas.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Se declara el día 31 de octubre de cada año como día de recuerdo y homenaje a las víctimas del golpe militar, la Guerra Civil y la Dictadura. </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8. Día de homenaje a las víctimas del exilio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Se declara el día 8 de mayo como día de recuerdo y homenaje a los hombres y mujeres que sufrieron el exilio como consecuencia de la Guerra Civil y la Dictadura.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9. Censo Nacional de Víctimas.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En el marco de colaboración con las comunidades autónomas y las entidades que integran la Administración local, se elaborará un censo de todas las víctimas de la Guerra Civil y la Dictadura, con independencia de su nacionalidad, conformado con los datos suministrados por las diferentes administraciones públicas, víctimas, organizaciones memorialistas, grupos de investigación universitarios y cualquier otra fuente, nacional o internacional, que cuente con información relevante para el mismo.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2. El censo recogerá el listado de las personas que sufrieron cualquier forma de violencia, coacción o represión conforme a lo establecido en el artículo 3.1, y se incluirá también a quienes murieron en combate durante la Guerra Civil.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3. Se anotarán, en cada uno de los casos, las circunstancias respecto de la represión padecida, del fallecimiento o desaparición, así como el lugar y la </w:t>
      </w:r>
      <w:r>
        <w:rPr>
          <w:rFonts w:ascii="Arial" w:eastAsia="Arial" w:hAnsi="Arial" w:cs="Arial"/>
        </w:rPr>
        <w:lastRenderedPageBreak/>
        <w:t xml:space="preserve">fecha en que ocurrieron los hechos, de ser posible. La información se incorporará al censo de víctimas de oficio por parte de la Administración o a instancia de las víctimas, de los familiares de estas o de las entidades memorialistas, de acuerdo con el procedimiento que se determine reglamentariamente.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bookmarkStart w:id="8" w:name="_1t3h5sf" w:colFirst="0" w:colLast="0"/>
      <w:bookmarkEnd w:id="8"/>
      <w:r>
        <w:rPr>
          <w:rFonts w:ascii="Arial" w:eastAsia="Arial" w:hAnsi="Arial" w:cs="Arial"/>
        </w:rPr>
        <w:t xml:space="preserve">4. La eventual solicitud de la víctima directa o, en caso de fallecimiento o desaparición, de sus familiares hasta el cuarto grado, en relación con la confidencialidad de los datos incluidos en el censo, será ponderada atendiendo, entre otros criterios, a la relevancia de la represión sufrida por la víctima, del tiempo de transcurrido desde su fallecimiento o del papel de la misma en la lucha por los derechos y libertades constitucionales.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5. Lo dispuesto en este artículo respetará en todo lo caso lo dispuesto en la normativa de protección de datos de carácter personal.</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center"/>
        <w:rPr>
          <w:rFonts w:ascii="Arial" w:eastAsia="Arial" w:hAnsi="Arial" w:cs="Arial"/>
          <w:b/>
        </w:rPr>
      </w:pPr>
      <w:r>
        <w:rPr>
          <w:rFonts w:ascii="Arial" w:eastAsia="Arial" w:hAnsi="Arial" w:cs="Arial"/>
          <w:b/>
        </w:rPr>
        <w:t>TÍTULO II</w:t>
      </w:r>
    </w:p>
    <w:p w:rsidR="00713587" w:rsidRDefault="001B676B">
      <w:pPr>
        <w:spacing w:line="288" w:lineRule="auto"/>
        <w:ind w:left="360" w:right="172"/>
        <w:jc w:val="center"/>
        <w:rPr>
          <w:rFonts w:ascii="Arial" w:eastAsia="Arial" w:hAnsi="Arial" w:cs="Arial"/>
          <w:b/>
        </w:rPr>
      </w:pPr>
      <w:r>
        <w:rPr>
          <w:rFonts w:ascii="Arial" w:eastAsia="Arial" w:hAnsi="Arial" w:cs="Arial"/>
          <w:b/>
        </w:rPr>
        <w:t>POLÍTICAS INTEGRALES DE MEMORIA DEMOCRÁTICA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10.  Políticas de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La Administración General del Estado adoptará las medidas y actuaciones necesarias para determinar e identificar los hechos representativos de la memoria democrática y las personas que lucharon por la libertad y la democracia, y procurará el reconocimiento a todas las víctimas a que se refiere el artículo 3.</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b/>
        </w:rPr>
        <w:t>Artículo 11. Reconocimiento de la memoria democrática de las mujeres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1. Las administraciones públicas adoptarán las medidas y actuaciones necesarias para el reconocimiento </w:t>
      </w:r>
      <w:proofErr w:type="gramStart"/>
      <w:r>
        <w:rPr>
          <w:rFonts w:ascii="Arial" w:eastAsia="Arial" w:hAnsi="Arial" w:cs="Arial"/>
        </w:rPr>
        <w:t>del  papel</w:t>
      </w:r>
      <w:proofErr w:type="gramEnd"/>
      <w:r>
        <w:rPr>
          <w:rFonts w:ascii="Arial" w:eastAsia="Arial" w:hAnsi="Arial" w:cs="Arial"/>
        </w:rPr>
        <w:t xml:space="preserve"> activo de las mujeres en la vida intelectual y política, en la promoción, avance y defensa de los valores democráticos y los derechos fundamentales.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Las administraciones públicas adoptarán las medidas y acciones necesarias para la difusión y conocimiento de las limitaciones y discriminaciones educativas, económicas, sociales y culturales que las mujeres soportaron específicamente durante la dictadura y reconocer a aquellas que las sufrieron.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 xml:space="preserve">2. Las administraciones públicas adoptarán las medidas necesarias para </w:t>
      </w:r>
      <w:proofErr w:type="gramStart"/>
      <w:r>
        <w:rPr>
          <w:rFonts w:ascii="Arial" w:eastAsia="Arial" w:hAnsi="Arial" w:cs="Arial"/>
        </w:rPr>
        <w:t>reparar  las</w:t>
      </w:r>
      <w:proofErr w:type="gramEnd"/>
      <w:r>
        <w:rPr>
          <w:rFonts w:ascii="Arial" w:eastAsia="Arial" w:hAnsi="Arial" w:cs="Arial"/>
        </w:rPr>
        <w:t xml:space="preserve"> formas especiales de represión o violencia de cualquier tipo sufrida por las mujeres como consecuencia de su actividad pública, política o intelectual, durante la Guerra Civil y la Dictadura, o como madres, compañeras o hijas de represaliados o asesinados. Igualmente, se llevarán a cabo actuaciones de reconocimiento y reparación de las mujeres que durante la Guerra Civil y la Dictadura sufrieron privación de libertad u otras penas como consecuencia de los </w:t>
      </w:r>
      <w:proofErr w:type="gramStart"/>
      <w:r>
        <w:rPr>
          <w:rFonts w:ascii="Arial" w:eastAsia="Arial" w:hAnsi="Arial" w:cs="Arial"/>
        </w:rPr>
        <w:t>delitos  de</w:t>
      </w:r>
      <w:proofErr w:type="gramEnd"/>
      <w:r>
        <w:rPr>
          <w:rFonts w:ascii="Arial" w:eastAsia="Arial" w:hAnsi="Arial" w:cs="Arial"/>
        </w:rPr>
        <w:t xml:space="preserve"> adulterio e interrupción voluntaria del embarazo. </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12. Plan de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Las actuaciones de la Administración General del Estado en materia de memoria democrática se articularán mediante el Plan de Memoria Democrática, que tendrá carácter cuatrienal.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El Plan contendrá los objetivos y prioridades que deben regir esta política durante su período de vigencia y determinará los recursos financieros indicativos para su ejecución.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Mediante planes anuales desarrollarán los objetivos, prioridades y recursos contenidos en el Plan para el ejercicio correspondiente.</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b/>
        </w:rPr>
        <w:t>Artículo 13. Consejo Territorial de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bookmarkStart w:id="9" w:name="_4d34og8" w:colFirst="0" w:colLast="0"/>
      <w:bookmarkEnd w:id="9"/>
      <w:r>
        <w:rPr>
          <w:rFonts w:ascii="Arial" w:eastAsia="Arial" w:hAnsi="Arial" w:cs="Arial"/>
        </w:rPr>
        <w:t xml:space="preserve">1. Se crea el Consejo Territorial de Memoria Democrática como instrumento de cooperación para la articulación de la política de memoria democrática, en el marco de lo establecido en los artículos 145 a 152 de la Ley 40/2015, de 1 de octubre, de Régimen Jurídico del Sector Público, adscrito al Ministerio competente en materia de Memoria Democrática.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El Consejo Territorial estará constituido por la persona titular del mencionado Ministerio, que ostentará su presidencia, y por los Consejeros competentes en materia de memoria democrática de cada una de las comunidades autónomas, y contará con la participación de las entidades locales, designadas por la Federación Española de Municipios y Provincias. Su composición y funcionamiento se aprobará reglamentariamente.</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3. Sin perjuicio de las competencias de cada una de las administraciones públicas integrantes, corresponde al Consejo Territorial, además de las funciones que expresamente le atribuye esta ley, ejercer las siguientes: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a) Acordar el marco de cooperación interadministrativa para el desarrollo de la ley.</w:t>
      </w:r>
    </w:p>
    <w:p w:rsidR="00713587" w:rsidRDefault="001B676B">
      <w:pPr>
        <w:spacing w:line="288" w:lineRule="auto"/>
        <w:ind w:left="360" w:right="172"/>
        <w:jc w:val="both"/>
        <w:rPr>
          <w:rFonts w:ascii="Arial" w:eastAsia="Arial" w:hAnsi="Arial" w:cs="Arial"/>
        </w:rPr>
      </w:pPr>
      <w:r>
        <w:rPr>
          <w:rFonts w:ascii="Arial" w:eastAsia="Arial" w:hAnsi="Arial" w:cs="Arial"/>
        </w:rPr>
        <w:t>b) Acordar, en su caso, planes, proyectos y programas conjuntos.</w:t>
      </w:r>
    </w:p>
    <w:p w:rsidR="00713587" w:rsidRDefault="001B676B">
      <w:pPr>
        <w:spacing w:line="288" w:lineRule="auto"/>
        <w:ind w:left="360" w:right="172"/>
        <w:jc w:val="both"/>
        <w:rPr>
          <w:rFonts w:ascii="Arial" w:eastAsia="Arial" w:hAnsi="Arial" w:cs="Arial"/>
        </w:rPr>
      </w:pPr>
      <w:r>
        <w:rPr>
          <w:rFonts w:ascii="Arial" w:eastAsia="Arial" w:hAnsi="Arial" w:cs="Arial"/>
        </w:rPr>
        <w:t>c) Facilitar la puesta a disposición de documentos, datos y estadísticas comunes.</w:t>
      </w:r>
    </w:p>
    <w:p w:rsidR="00713587" w:rsidRDefault="001B676B">
      <w:pPr>
        <w:spacing w:line="288" w:lineRule="auto"/>
        <w:ind w:left="360" w:right="172"/>
        <w:jc w:val="both"/>
        <w:rPr>
          <w:rFonts w:ascii="Arial" w:eastAsia="Arial" w:hAnsi="Arial" w:cs="Arial"/>
        </w:rPr>
      </w:pPr>
      <w:r>
        <w:rPr>
          <w:rFonts w:ascii="Arial" w:eastAsia="Arial" w:hAnsi="Arial" w:cs="Arial"/>
        </w:rPr>
        <w:t>d) Informar la normativa estatal de desarrollo en materia de memoria democrática.</w:t>
      </w:r>
    </w:p>
    <w:p w:rsidR="00713587" w:rsidRDefault="001B676B">
      <w:pPr>
        <w:spacing w:line="288" w:lineRule="auto"/>
        <w:ind w:left="360" w:right="172"/>
        <w:jc w:val="both"/>
        <w:rPr>
          <w:rFonts w:ascii="Arial" w:eastAsia="Arial" w:hAnsi="Arial" w:cs="Arial"/>
        </w:rPr>
      </w:pPr>
      <w:r>
        <w:rPr>
          <w:rFonts w:ascii="Arial" w:eastAsia="Arial" w:hAnsi="Arial" w:cs="Arial"/>
        </w:rPr>
        <w:t>e) Servir de cauce de cooperación, comunicación e información entre las administraciones públicas.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4. Asimismo, corresponde al Consejo Territorial conseguir la máxima coherencia en la determinación y aplicación de las diversas políticas ejercidas en materia de memoria democrática por la Administración General del Estado y las comunidades autónomas mediante el intercambio de puntos de vista y el examen en común de los problemas que puedan plantearse y de las acciones proyectadas para afrontarlos y resolverlos.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center"/>
        <w:rPr>
          <w:rFonts w:ascii="Arial" w:eastAsia="Arial" w:hAnsi="Arial" w:cs="Arial"/>
          <w:b/>
        </w:rPr>
      </w:pPr>
      <w:r>
        <w:rPr>
          <w:rFonts w:ascii="Arial" w:eastAsia="Arial" w:hAnsi="Arial" w:cs="Arial"/>
          <w:b/>
        </w:rPr>
        <w:t>CAPÍTULO I</w:t>
      </w:r>
    </w:p>
    <w:p w:rsidR="00713587" w:rsidRDefault="001B676B">
      <w:pPr>
        <w:spacing w:line="288" w:lineRule="auto"/>
        <w:ind w:left="360" w:right="172"/>
        <w:jc w:val="center"/>
        <w:rPr>
          <w:rFonts w:ascii="Arial" w:eastAsia="Arial" w:hAnsi="Arial" w:cs="Arial"/>
          <w:b/>
        </w:rPr>
      </w:pPr>
      <w:r>
        <w:rPr>
          <w:rFonts w:ascii="Arial" w:eastAsia="Arial" w:hAnsi="Arial" w:cs="Arial"/>
          <w:b/>
        </w:rPr>
        <w:t>Del derecho de las víctimas a la verdad.</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14. Derecho de las víctimas a la verdad.</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A efectos de esta ley, se reconoce el derecho de las víctimas, sus familiares y la sociedad en general, a la verificación de los hechos y la revelación pública y completa de los motivos y circunstancias en que se cometieron las violaciones al Derecho Internacional Humanitario o de violaciones graves y manifiestas a las normas internacionales de los derechos humanos ocurridas con ocasión de la Guerra Civil y de la Dictadura y, en caso de fallecimiento o desaparición, acerca de la suerte que corrió la víctima, y al esclarecimiento de su paradero.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2. Con la finalidad de fomentar el conocimiento científico imprescindible para el desarrollo de la memoria democrática en los términos definidos en esta ley, la Administración General del Estado impulsará la investigación de todos los aspectos relativos a la Guerra Civil y la Dictadura, así como de los procesos </w:t>
      </w:r>
      <w:r>
        <w:rPr>
          <w:rFonts w:ascii="Arial" w:eastAsia="Arial" w:hAnsi="Arial" w:cs="Arial"/>
        </w:rPr>
        <w:lastRenderedPageBreak/>
        <w:t>memoriales que han tenido lugar en el país. Se impulsarán investigaciones comparadas que conecten el caso español con procesos europeos y globales afines.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center"/>
        <w:rPr>
          <w:rFonts w:ascii="Arial" w:eastAsia="Arial" w:hAnsi="Arial" w:cs="Arial"/>
          <w:b/>
        </w:rPr>
      </w:pPr>
      <w:r>
        <w:rPr>
          <w:rFonts w:ascii="Arial" w:eastAsia="Arial" w:hAnsi="Arial" w:cs="Arial"/>
          <w:b/>
        </w:rPr>
        <w:t>Sección 1ª. Localización e identificación de personas desaparecidas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15. Búsqueda de personas desaparecidas.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Corresponderá a la Administración General del Estado la búsqueda de personas desaparecidas durante la Guerra Civil y la Dictadura, sin perjuicio de las competencias de otras administraciones públicas relacionadas con dicha actividad.</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La realización de las tareas de búsqueda de mujeres y hombres desaparecidos se regulará reglamentariamente. Dichas tareas se llevarán a cabo de forma gradual y se apoyará en la elaboración de mapas de localización de personas desaparecidas. Para su desarrollo, se elaborarán, con carácter cuatrienal, planes de búsqueda, localización, exhumación e identificación de los mismos.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3. Se harán públicos en el portal de internet del departamento competente en materia de memoria democrática los datos de exhumación anual, que incluirán la cifra de peticiones registradas, el número de fosas y restos de personas localizadas, así como el número de prospecciones sin resultado positivo.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4. Las administraciones públicas, en cumplimiento de la política pública de búsqueda de personas desaparecidas y en el marco de la planificación establecida, colaborarán en las actividades de indagación, localización e identificación de las personas desaparecidas durante la Guerra Civil o la represión política posterior y cuyo paradero se ignore, presentadas por las víctimas o aquellas entidades que incluyan el desarrollo de tales actividades entre sus fines, a través de los mecanismos de financiación y ayuda que se establezcan. </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16. Colaboración entre administraciones públicas.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1. Las actuaciones que lleven a cabo la Administración General del Estado y las administraciones de las comunidades autónomas, diputaciones y </w:t>
      </w:r>
      <w:r>
        <w:rPr>
          <w:rFonts w:ascii="Arial" w:eastAsia="Arial" w:hAnsi="Arial" w:cs="Arial"/>
        </w:rPr>
        <w:lastRenderedPageBreak/>
        <w:t>ayuntamientos en materia de memoria democrática, en sus respectivos ámbitos competenciales, se regirán por el principio de colaboración.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En el marco de colaboración entre la Administración General del Estado y las comunidades autónomas, se establecerán las medidas necesarias para asegurar el intercambio de información y la actuación conjunta en la gestión relativa a la elaboración y actualización de los mapas de fosas.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17. Mapa integrado de localización de personas desaparecidas.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1. La Administración General del Estado confeccionará un mapa integrado de localización de personas desaparecidas que comprenda todo el territorio español, al que se incorporarán los datos remitidos por las distintas administraciones públicas competentes.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2. La documentación cartográfica y geográfica será actualizada periódicamente y tendrá carácter público.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3. Las zonas incluidas en los mapas de localización de restos serán objeto de una preservación especial en los términos que reglamentariamente se establezcan y de acuerdo con la normativa sobre el planeamiento y la ordenación del territorio y de protección del patrimonio histórico-artístico.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bookmarkStart w:id="10" w:name="_2s8eyo1" w:colFirst="0" w:colLast="0"/>
      <w:bookmarkEnd w:id="10"/>
      <w:r>
        <w:rPr>
          <w:rFonts w:ascii="Arial" w:eastAsia="Arial" w:hAnsi="Arial" w:cs="Arial"/>
        </w:rPr>
        <w:t>4. Toda georreferenciación, cartografía o geolocalización realizada al amparo de la presente Ley se efectuará en el sistema geodésico de referencia oficial en España.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18. Autorizaciones administrativas para actividades de localización e identificación.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Las administraciones públicas competentes autorizarán las tareas de prospección, encaminadas a la localización de restos de las víctimas de acuerdo con la normativa sobre patrimonio histórico y los protocolos de actuación que se establezcan.</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 xml:space="preserve">Artículo 19. Procedimiento para la localización, exhumación e identificación de personas desaparecidas.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 xml:space="preserve">1. El procedimiento de localización, y en su caso exhumación e identificación se incoará de oficio por la Administración General del Estado o por la comunidad autónoma en cuyo territorio se ubiquen los restos, o bien a </w:t>
      </w:r>
      <w:proofErr w:type="gramStart"/>
      <w:r>
        <w:rPr>
          <w:rFonts w:ascii="Arial" w:eastAsia="Arial" w:hAnsi="Arial" w:cs="Arial"/>
        </w:rPr>
        <w:t>instancia  de</w:t>
      </w:r>
      <w:proofErr w:type="gramEnd"/>
      <w:r>
        <w:rPr>
          <w:rFonts w:ascii="Arial" w:eastAsia="Arial" w:hAnsi="Arial" w:cs="Arial"/>
        </w:rPr>
        <w:t xml:space="preserve"> las entidades locales, en el ejercicio de las competencias respectivas, o de las siguientes personas y entidades: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a) La </w:t>
      </w:r>
      <w:proofErr w:type="gramStart"/>
      <w:r>
        <w:rPr>
          <w:rFonts w:ascii="Arial" w:eastAsia="Arial" w:hAnsi="Arial" w:cs="Arial"/>
        </w:rPr>
        <w:t>persona  que</w:t>
      </w:r>
      <w:proofErr w:type="gramEnd"/>
      <w:r>
        <w:rPr>
          <w:rFonts w:ascii="Arial" w:eastAsia="Arial" w:hAnsi="Arial" w:cs="Arial"/>
        </w:rPr>
        <w:t xml:space="preserve"> haya sido cónyuge o persona ligada por análoga relación de afectividad, sus descendientes, sus ascendientes y sus colaterales hasta el cuarto grado. </w:t>
      </w:r>
    </w:p>
    <w:p w:rsidR="00713587" w:rsidRDefault="001B676B">
      <w:pPr>
        <w:spacing w:line="288" w:lineRule="auto"/>
        <w:ind w:left="360" w:right="172"/>
        <w:jc w:val="both"/>
        <w:rPr>
          <w:rFonts w:ascii="Arial" w:eastAsia="Arial" w:hAnsi="Arial" w:cs="Arial"/>
        </w:rPr>
      </w:pPr>
      <w:r>
        <w:rPr>
          <w:rFonts w:ascii="Arial" w:eastAsia="Arial" w:hAnsi="Arial" w:cs="Arial"/>
        </w:rPr>
        <w:t>b) Las entidades memorialistas y las asociaciones de familiares de víctimas.</w:t>
      </w:r>
    </w:p>
    <w:p w:rsidR="00713587" w:rsidRDefault="001B676B">
      <w:pPr>
        <w:spacing w:line="288" w:lineRule="auto"/>
        <w:ind w:left="360" w:right="172"/>
        <w:jc w:val="both"/>
        <w:rPr>
          <w:rFonts w:ascii="Arial" w:eastAsia="Arial" w:hAnsi="Arial" w:cs="Arial"/>
        </w:rPr>
      </w:pPr>
      <w:r>
        <w:rPr>
          <w:rFonts w:ascii="Arial" w:eastAsia="Arial" w:hAnsi="Arial" w:cs="Arial"/>
        </w:rPr>
        <w:t xml:space="preserve">c) Cualesquiera otras personas y entidades que acrediten un interés legítimo.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En el caso de las personas y entidades referidas en el apartado anterior, la solicitud razonada deberá acompañarse de las pruebas documentales o de la relación de indicios que la justifiquen.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3. La administración que tramite el procedimiento deberá ponderar la existencia de oposición a la exhumación por cualquiera de los descendientes directos de las víctimas. A tales efectos, y con carácter previo a la correspondiente resolución, la administración competente deberá dar publicidad a las actuaciones proyectadas.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4. El expediente se resolverá y notificará en el plazo máximo de doce meses desde la fecha de su incoación. La solicitud se entenderá desestimada si una vez trascurrido ese plazo no se ha dictado y notificado resolución expresa.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20. Protocolos de actuación.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Las actividades de localización, exhumación e identificación de restos de personas desaparecidas se realizarán siguiendo los oportunos protocolos adoptados por la Administración General del Estado y las comunidades autónomas.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En particular, las exhumaciones que se realicen por la Administración General del Estado deberán seguir el Protocolo de actuación en exhumaciones de víctimas de la Guerra Civil y la Dictadura, publicado mediante la Orden PRE/2568/2011, de 26 de septiembre, por la que se publica el Acuerdo del Consejo de Ministros de 23 de septiembre de 2011.</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lastRenderedPageBreak/>
        <w:t>Artículo 21. Acceso a los terrenos afectados por trabajos de localización e identificación.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En el caso de terrenos de titularidad privada, los descendientes, o las organizaciones legitimadas, deberán solicitar el consentimiento de los titulares de derechos afectados sobre los terrenos en que se hallen los restos. Si no se obtuviere dicho consentimiento, las administraciones públicas podrán autorizar la ocupación temporal, siempre tras audiencia de los titulares de derechos afectados, con consideración de sus alegaciones, y fijando la correspondiente indemnización a cargo de los ocupantes.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La realización de las actividades de localización y eventual identificación o traslado de los restos de las personas desaparecidas se constituye en fin de utilidad pública e interés social, a los efectos de permitir, en su caso y de acuerdo con los artículos 108 a 119 de la Ley de Expropiación Forzosa, la ocupación temporal de los terrenos donde deban realizarse.</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Para las actividades determinadas en el apartado anterior, las autoridades competentes autorizarán, salvo causa justificada de interés público, la ocupación temporal de los terrenos de titularidad pública conforme a la normativa aplicable.</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4.</w:t>
      </w:r>
      <w:r>
        <w:rPr>
          <w:rFonts w:ascii="Arial" w:eastAsia="Arial" w:hAnsi="Arial" w:cs="Arial"/>
        </w:rPr>
        <w:tab/>
        <w:t>En el ámbito de las competencias de la Administración General del Estado, los procedimientos administrativos para autorizar las actividades de localización e identificación o para el acceso a los terrenos afectados por trabajos de localización e identificación, no estarán sujetas a ningún tipo de tasa, canon o gravamen.</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22. Hallazgo casual de restos humanos.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bookmarkStart w:id="11" w:name="_17dp8vu" w:colFirst="0" w:colLast="0"/>
      <w:bookmarkEnd w:id="11"/>
      <w:r>
        <w:rPr>
          <w:rFonts w:ascii="Arial" w:eastAsia="Arial" w:hAnsi="Arial" w:cs="Arial"/>
        </w:rPr>
        <w:t xml:space="preserve">1. En el caso de que por azar una persona descubra restos que puedan corresponder a las personas desparecidas a las que se refiere el artículo 15, deberá comunicarlo de forma inmediata bien a la autoridad administrativa, a las Fuerzas y Cuerpos de Seguridad, al Ministerio Fiscal o al </w:t>
      </w:r>
      <w:proofErr w:type="gramStart"/>
      <w:r>
        <w:rPr>
          <w:rFonts w:ascii="Arial" w:eastAsia="Arial" w:hAnsi="Arial" w:cs="Arial"/>
        </w:rPr>
        <w:t>Juzgado,  quienes</w:t>
      </w:r>
      <w:proofErr w:type="gramEnd"/>
      <w:r>
        <w:rPr>
          <w:rFonts w:ascii="Arial" w:eastAsia="Arial" w:hAnsi="Arial" w:cs="Arial"/>
        </w:rPr>
        <w:t xml:space="preserve"> deberán ponerlo en conocimiento, a la mayor brevedad posible a las autoridades competentes en materia de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2. Corresponde a las administraciones competentes preservar, delimitar y vigilar la zona de aparición de los restos.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23. Resultado de las intervenciones.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Los hallazgos de restos se pondrán inmediatamente en conocimiento del Ministerio Fiscal.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El traslado de restos humanos como consecuencia de los procedimientos de localización o por hallazgo casual requerirá autorización de la administración competente, sin perjuicio de lo que la autoridad judicial pueda disponer.</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bookmarkStart w:id="12" w:name="_3rdcrjn" w:colFirst="0" w:colLast="0"/>
      <w:bookmarkEnd w:id="12"/>
      <w:r>
        <w:rPr>
          <w:rFonts w:ascii="Arial" w:eastAsia="Arial" w:hAnsi="Arial" w:cs="Arial"/>
        </w:rPr>
        <w:t>3.“La Administración General del Estado o, en su caso, las administraciones competentes, realizarán los estudios antropológicos forenses y las pruebas genéticas que permitan la identificación de los restos óseos exhumados”.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4. Los restos que hayan sido objeto de exhumación y no fuesen reclamados, serán inhumados en el cementerio correspondiente del término municipal en que se encontraran, salvo imposibilidad justificada.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5. El Ministerio Fiscal al promoverá la inscripción de fallecimiento con arreglo a lo establecido en la legislación aplicable en materia de registro civil.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6. La restitución de los restos exhumados a sus familiares se realizará en todo caso en presencia de un representante de los poderes públicos.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7. Se guardará el debido respeto en todo momento al derecho a la intimidad, la dignidad, las convicciones éticas, filosóficas, culturales o religiosas de la víctima que sean conocidas por sus familiares y al dolor de estos y su necesario y correcto acompañamiento.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8. Cuando no sea posible la recuperación de los restos de la persona desaparecida, las administraciones competentes garantizarán que las víctimas reciban un trato digno y toda la información sobre el resultado de las actuaciones. </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24. Creación del Banco Nacional de ADN de Víctimas de la Guerra Civil y la Dictadura.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rPr>
        <w:t>1. Se crea el Banco Nacional de ADN de Víctimas de la Guerra Civil y la Dictadura, adscrito al Ministerio de Justicia, que tendrá por funciones la recepción y almacenamiento de los perfiles de ADN de víctimas de la Guerra Civil y de la Dictadura y de sus familiares, a fin de poder comparar dichos perfiles de ADN con vistas a la identificación genética de las víctimas.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La aportación de muestras biológicas por parte de los familiares para la obtención de los perfiles de ADN, previa acreditación de tal condición, será en todo caso voluntaria.</w:t>
      </w:r>
    </w:p>
    <w:p w:rsidR="00713587" w:rsidRDefault="001B676B">
      <w:pPr>
        <w:spacing w:line="288" w:lineRule="auto"/>
        <w:ind w:left="360" w:right="172"/>
        <w:jc w:val="both"/>
        <w:rPr>
          <w:rFonts w:ascii="Arial" w:eastAsia="Arial" w:hAnsi="Arial" w:cs="Arial"/>
        </w:rPr>
      </w:pPr>
      <w:r>
        <w:rPr>
          <w:rFonts w:ascii="Arial" w:eastAsia="Arial" w:hAnsi="Arial" w:cs="Arial"/>
        </w:rPr>
        <w:t>3. Se garantizará la colaboración entre este Banco Nacional de ADN, el Instituto Nacional de Toxicología y Ciencias Forenses, los Institutos de Medicina Legal y Ciencias Forenses y los laboratorios de ADN designados por las distintas comunidades autónomas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4. Reglamentariamente se establecerán los requisitos y procedimientos para asegurar el cumplimiento de la normativa en materia de protección de datos, aspectos éticos y de bioseguridad, así como el régimen de organización y funcionamiento del Banco Nacional de ADN. </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25. Actuaciones ante órganos jurisdiccionales.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bookmarkStart w:id="13" w:name="_26in1rg" w:colFirst="0" w:colLast="0"/>
      <w:bookmarkEnd w:id="13"/>
      <w:r>
        <w:rPr>
          <w:rFonts w:ascii="Arial" w:eastAsia="Arial" w:hAnsi="Arial" w:cs="Arial"/>
        </w:rPr>
        <w:t xml:space="preserve">La Administración General del Estado pondrá en conocimiento del Ministerio Fiscal la existencia de indicios de comisión de delitos que se aprecien con ocasión de las localizaciones e identificaciones a que se refiere esta ley. </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center"/>
        <w:rPr>
          <w:rFonts w:ascii="Arial" w:eastAsia="Arial" w:hAnsi="Arial" w:cs="Arial"/>
          <w:b/>
        </w:rPr>
      </w:pPr>
      <w:r>
        <w:rPr>
          <w:rFonts w:ascii="Arial" w:eastAsia="Arial" w:hAnsi="Arial" w:cs="Arial"/>
          <w:b/>
        </w:rPr>
        <w:t xml:space="preserve">Sección </w:t>
      </w:r>
      <w:proofErr w:type="gramStart"/>
      <w:r>
        <w:rPr>
          <w:rFonts w:ascii="Arial" w:eastAsia="Arial" w:hAnsi="Arial" w:cs="Arial"/>
          <w:b/>
        </w:rPr>
        <w:t>2ª  Archivos</w:t>
      </w:r>
      <w:proofErr w:type="gramEnd"/>
      <w:r>
        <w:rPr>
          <w:rFonts w:ascii="Arial" w:eastAsia="Arial" w:hAnsi="Arial" w:cs="Arial"/>
          <w:b/>
        </w:rPr>
        <w:t xml:space="preserve"> y documentación</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26. Centro Documental de la Memoria Histórica.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1. El Centro Documental de la Memoria Histórica, de titularidad y gestión estatal  y con sede en la ciudad de Salamanca, tiene la finalidad de reunir y recuperar los fondos documentales, testimonios orales y por cualquier otro medio relativos al periodo histórico comprendido entre 1936 y 1978, fundamentalmente para que sean puestos a disposición de las persona interesadas, de los investigadores e investigadoras y de la ciudadanía en general, mediante actividades museísticas, pedagógicas y cuantas sean necesarias para proporcionarles el conocimiento de nuestra historia reciente.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bookmarkStart w:id="14" w:name="_lnxbz9" w:colFirst="0" w:colLast="0"/>
      <w:bookmarkEnd w:id="14"/>
      <w:r>
        <w:rPr>
          <w:rFonts w:ascii="Arial" w:eastAsia="Arial" w:hAnsi="Arial" w:cs="Arial"/>
        </w:rPr>
        <w:lastRenderedPageBreak/>
        <w:t xml:space="preserve">2. El Centro Documental de la Memoria Histórica fomentará y contribuirá a la difusión y divulgación de sus fondos.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La estructura y funcionamiento del Centro Documental de la Memoria Histórica se establecerá mediante real decreto.</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27. Adquisición y protección de documentos sobre la Guerra Civil y la Dictadura.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La Administración General del Estado aprobará, con carácter anual y con la dotación que en cada caso se establezca en los Presupuestos Generales del Estado, un programa de convenios para la adquisición de documentos referidos a la Guerra Civil o a la represión política subsiguiente que obren en archivos públicos o privados, nacionales o extranjeros, ya sean en versión original o a través de cualquier instrumento que permita archivar, conocer o reproducir palabras, datos o cifras con fidelidad al original. Los mencionados fondos documentales se incorporarán al Archivo General de la Guerra Civil Española.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color w:val="FF0000"/>
        </w:rPr>
      </w:pPr>
      <w:r>
        <w:rPr>
          <w:rFonts w:ascii="Arial" w:eastAsia="Arial" w:hAnsi="Arial" w:cs="Arial"/>
        </w:rPr>
        <w:t>2. De conformidad con lo dispuesto en la Ley 16/1985, de 25 de junio, del Patrimonio Histórico Español, los documentos obrantes en archivos privados y públicos relativos a la Guerra Civil y la Dictadura se declaran constitutivos del Patrimonio Documental y Bibliográfico, sin perjuicio de lo dispuesto en el artículo 28.</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 xml:space="preserve">Artículo 28. Derecho de acceso a los fondos de los archivos públicos y privados.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A los efectos de lo previsto en esta ley, con el fin de facilitar toda investigación o consulta orientada al desarrollo de memoria democrática, se garantiza el derecho de acceso a los fondos documentales depositados en los archivos públicos y la obtención de las copias que se soliciten.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Lo previsto en el apartado anterior será de aplicación, en sus propios términos, a los archivos privados sostenidos, total o parcialmente, con fondos públicos.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3. Los poderes públicos adoptarán las medidas necesarias para la protección, la integridad y descripción de estos documentos, en particular en los casos de mayor deterioro o riesgo de degradación.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color w:val="FF0000"/>
        </w:rPr>
      </w:pPr>
      <w:r>
        <w:rPr>
          <w:rFonts w:ascii="Arial" w:eastAsia="Arial" w:hAnsi="Arial" w:cs="Arial"/>
        </w:rPr>
        <w:t>4. Los documentos utilizados para la función investigadora relacionados con la Guerra Civil española y la dictadura, en base al interés público, serán catalogados y digitalizados, dándose traslado de la documentación objeto, a través de una copia auténtica y fidedigna, al Centro Documental de la Memoria Histórica.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center"/>
        <w:rPr>
          <w:rFonts w:ascii="Arial" w:eastAsia="Arial" w:hAnsi="Arial" w:cs="Arial"/>
          <w:b/>
        </w:rPr>
      </w:pPr>
      <w:r>
        <w:rPr>
          <w:rFonts w:ascii="Arial" w:eastAsia="Arial" w:hAnsi="Arial" w:cs="Arial"/>
          <w:b/>
        </w:rPr>
        <w:t>CAPÍTULO II</w:t>
      </w:r>
    </w:p>
    <w:p w:rsidR="00713587" w:rsidRDefault="001B676B">
      <w:pPr>
        <w:spacing w:line="288" w:lineRule="auto"/>
        <w:ind w:left="360" w:right="172"/>
        <w:jc w:val="center"/>
        <w:rPr>
          <w:rFonts w:ascii="Arial" w:eastAsia="Arial" w:hAnsi="Arial" w:cs="Arial"/>
          <w:b/>
        </w:rPr>
      </w:pPr>
      <w:r>
        <w:rPr>
          <w:rFonts w:ascii="Arial" w:eastAsia="Arial" w:hAnsi="Arial" w:cs="Arial"/>
          <w:b/>
        </w:rPr>
        <w:t>De la justicia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29. Fiscalía de Sala de Memoria Democrática y Derechos Humanos.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Se crea una Fiscalía de Sala para la investigación de los hechos producidos con ocasión de la Guerra Civil y la Dictadura, incluyendo los que tuvieron lugar hasta la entrada en vigor de la Constitución, que constituyan violaciones de los derechos humanos y del Derecho Internacional Humanitario. A esta Fiscalía se le atribuirán asimismo funciones de impulso de los procesos de búsqueda de las víctimas de los hechos investigados, en coordinación con los órganos de las distintas administraciones con competencias sobre esta materia, para lograr su debida identificación y localización.</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30. Derecho a la investigación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1. El Estado garantizará el derecho a la investigación de las violaciones a los derechos humanos y el Derecho Internacional Humanitario ocurridas con ocasión de la Guerra Civil y la Dictadura, así como el periodo que va desde la muerte del dictador hasta la aprobación de la Constitución Española. La Fiscalía de Sala de Memoria Democrática y Derechos Humanos intervendrá en su caso en defensa de la legalidad y los derechos humanos.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Se garantizará la tutela judicial en los procedimientos encaminados a la obtención de una declaración judicial sobre la realidad y las circunstancias de hechos pasados determinados relacionados con las víctimas a que se refiere el artículo 3.</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 xml:space="preserve">3. El Ministerio Fiscal, en el ejercicio de sus funciones, promoverá las inscripciones en el Registro Civil de las defunciones de las personas desaparecidas como consecuencia de la Guerra civil y la represión ejercida en la Dictadura posterior.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center"/>
        <w:rPr>
          <w:rFonts w:ascii="Arial" w:eastAsia="Arial" w:hAnsi="Arial" w:cs="Arial"/>
          <w:b/>
        </w:rPr>
      </w:pPr>
      <w:r>
        <w:rPr>
          <w:rFonts w:ascii="Arial" w:eastAsia="Arial" w:hAnsi="Arial" w:cs="Arial"/>
          <w:b/>
        </w:rPr>
        <w:t>CAPÍTULO III</w:t>
      </w:r>
    </w:p>
    <w:p w:rsidR="00713587" w:rsidRDefault="001B676B">
      <w:pPr>
        <w:spacing w:line="288" w:lineRule="auto"/>
        <w:ind w:left="360" w:right="172"/>
        <w:jc w:val="center"/>
        <w:rPr>
          <w:rFonts w:ascii="Arial" w:eastAsia="Arial" w:hAnsi="Arial" w:cs="Arial"/>
          <w:b/>
        </w:rPr>
      </w:pPr>
      <w:r>
        <w:rPr>
          <w:rFonts w:ascii="Arial" w:eastAsia="Arial" w:hAnsi="Arial" w:cs="Arial"/>
          <w:b/>
        </w:rPr>
        <w:t>De la reparación</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31. Reparación integral.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La Administración General del Estado desarrollará </w:t>
      </w:r>
      <w:proofErr w:type="gramStart"/>
      <w:r>
        <w:rPr>
          <w:rFonts w:ascii="Arial" w:eastAsia="Arial" w:hAnsi="Arial" w:cs="Arial"/>
        </w:rPr>
        <w:t>un  conjunto</w:t>
      </w:r>
      <w:proofErr w:type="gramEnd"/>
      <w:r>
        <w:rPr>
          <w:rFonts w:ascii="Arial" w:eastAsia="Arial" w:hAnsi="Arial" w:cs="Arial"/>
        </w:rPr>
        <w:t xml:space="preserve"> de medidas de restitución, rehabilitación y satisfacción, en sus dimensiones individual, colectiva, material, moral y simbólica orientadas al restablecimiento de los derechos de las víctimas.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32. Incautaciones de bienes y sanciones económicas.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La Administración General del Estado promoverá las iniciativas necesarias para la investigación de las incautaciones producidas por razones políticas, ideológicas, de conciencia o creencia religiosa durante la Guerra Civil y la Dictadura y, en particular, realizará una auditoría de los bienes expoliados en dicho periodo, incluyendo el papel moneda u otros signos fiduciarios depositados por las autoridades franquistas, así como la imposición de sanciones económicas en aplicación de la normativa de responsabilidades políticas. Esta auditoria incluirá un inventario de bienes y derechos incautados.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2. Una vez finalizada la auditoría a que se refiere el apartado anterior, se implementarán las posibles vías de reconocimiento a los afectados. </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33. Trabajos forzados.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La Administración General del Estado impulsará actuaciones para el reconocimiento y reparación a las víctimas que realizaron trabajos forzados, como la señalización de los lugares directamente relacionados con los trabajos forzados, de forma que se permitan su identificación y el recuerdo de lo sucedido, así como impulsar iniciativas por parte de las organizaciones o empresas respecto de las que se constate, a través de la realización de un censo, que utilizaron los trabajos forzados en su beneficio para que adopten medidas en ese sentido.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La Administración General del Estado, en colaboración con las demás administraciones públicas, confeccionará un inventario de edificaciones y obras realizadas por miembros de los Batallones Disciplinarios de Soldados Trabajadores, así como por prisioneros en campos de concentración, Batallones de Trabajadores y prisioneros en Colonias Penitenciarias Militarizadas.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34. Concesión de la nacionalidad española a los voluntarios integrantes de las Brigadas Internacionales.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A los efectos del artículo 21.1 del Código Civil se entiende que concurren circunstancias excepcionales en los voluntarios integrantes de las Brigadas Internacionales que participaron en la Guerra Civil de 1936 a 1939 para la adquisición de la nacionalidad española por carta de naturaleza, no siéndoles de aplicación la exigencia de renuncia a su anterior nacionalidad requerida en el artículo 23, letra b, del Código Civil.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Los requisitos y el procedimiento a seguir para la adquisición de la nacionalidad española por parte de las personas mencionadas en el apartado anterior serán los establecidos reglamentariamente.</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center"/>
        <w:rPr>
          <w:rFonts w:ascii="Arial" w:eastAsia="Arial" w:hAnsi="Arial" w:cs="Arial"/>
          <w:b/>
        </w:rPr>
      </w:pPr>
      <w:r>
        <w:rPr>
          <w:rFonts w:ascii="Arial" w:eastAsia="Arial" w:hAnsi="Arial" w:cs="Arial"/>
          <w:b/>
        </w:rPr>
        <w:t>CAPÍTULO IV</w:t>
      </w:r>
    </w:p>
    <w:p w:rsidR="00713587" w:rsidRDefault="001B676B">
      <w:pPr>
        <w:spacing w:line="288" w:lineRule="auto"/>
        <w:ind w:left="360" w:right="172"/>
        <w:jc w:val="center"/>
        <w:rPr>
          <w:rFonts w:ascii="Arial" w:eastAsia="Arial" w:hAnsi="Arial" w:cs="Arial"/>
          <w:b/>
        </w:rPr>
      </w:pPr>
      <w:r>
        <w:rPr>
          <w:rFonts w:ascii="Arial" w:eastAsia="Arial" w:hAnsi="Arial" w:cs="Arial"/>
          <w:b/>
        </w:rPr>
        <w:t>Del deber de memoria democrática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35. Deber de memoria.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Con el objeto de preservar en la memoria colectiva los desastres de la guerra y de toda forma de totalitarismo, las administraciones públicas desarrollarán todas aquellas medidas destinadas a evitar que las violaciones de derechos humanos que se produjeron durante el Golpe de Estado, la Guerra Civil y la Dictadura, puedan volver a repetirse. </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center"/>
        <w:rPr>
          <w:rFonts w:ascii="Arial" w:eastAsia="Arial" w:hAnsi="Arial" w:cs="Arial"/>
          <w:b/>
        </w:rPr>
      </w:pPr>
      <w:r>
        <w:rPr>
          <w:rFonts w:ascii="Arial" w:eastAsia="Arial" w:hAnsi="Arial" w:cs="Arial"/>
          <w:b/>
        </w:rPr>
        <w:t xml:space="preserve">Sección 1ª Símbolos, elementos y </w:t>
      </w:r>
      <w:proofErr w:type="gramStart"/>
      <w:r>
        <w:rPr>
          <w:rFonts w:ascii="Arial" w:eastAsia="Arial" w:hAnsi="Arial" w:cs="Arial"/>
          <w:b/>
        </w:rPr>
        <w:t>actos  contrarios</w:t>
      </w:r>
      <w:proofErr w:type="gramEnd"/>
      <w:r>
        <w:rPr>
          <w:rFonts w:ascii="Arial" w:eastAsia="Arial" w:hAnsi="Arial" w:cs="Arial"/>
          <w:b/>
        </w:rPr>
        <w:t xml:space="preserve"> a la memoria democrática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36. Símbolos y elementos contrarios a la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 xml:space="preserve">1. Las administraciones públicas, en el ejercicio de sus competencias, adoptarán las medidas oportunas para la retirada de escudos, insignias, placas y otros objetos o menciones conmemorativas, como el callejero, topónimos, inscripciones y otros elementos adosados a edificios públicos o situados en la vía pública, realizados en exaltación, personal o colectiva, de la sublevación militar, de la Guerra Civil y de la Dictadura, de sus dirigentes, participantes en el sistema represivo o de las organizaciones que sustentaron al régimen dictatorial.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Específicamente, las administraciones públicas eliminarán en el ámbito de sus respectivas competencias y territorio, denominaciones que exalten la Guerra Civil y la Dictadura del callejero o cualesquiera centros públicos, así como de nombres de localidades y pueblos.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Cuando los elementos contrarios a la memoria democrática estén ubicados en edificios de carácter privado o religioso, pero con proyección a un espacio o uso público, las personas o instituciones titulares o propietarias de los mismos deberán retirarlos o eliminarlos, de la forma establecida en el presente artículo.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Cuando los elementos contrarios a la memoria democrática estén ubicados o colocados en edificios de carácter público, las instituciones o personas jurídicas titulares de los mismos serán responsables de su retirada o eliminación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4. Lo previsto en los apartados anteriores no será de aplicación cuando las menciones sean de estricto recuerdo privado, sin exaltación de los enfrentados, o cuando concurran razones artísticas o arquitectónicas protegidas por la ley.</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A efectos de lo dispuesto en el párrafo anterior, concurrirán razones artísticas cuando se trate de elementos con singular valor artístico que formen parte de un bien integrante del Patrimonio Histórico Español. Únicamente se considerará que concurren razones arquitectónicas cuando el elemento sea fundamental para la estructura del inmueble, de tal modo que su retirada pudiera poner en peligro la estabilidad del inmueble o cualquier otro aspecto relativo a su adecuada conservación.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En el caso de que concurran razones artísticas o arquitectónicas que obliguen al mantenimiento de los referidos elementos, podrá incorporarse una mención orientada a la reinterpretación de dicho elemento conforme a la memoria democrática.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37. Catálogo de vestigios y elementos contrarios a la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La Administración General del Estado, en colaboración con las comunidades autónomas y las entidades locales, confeccionará un catálogo de vestigios relativos a la Guerra Civil y la Dictadura que contendrá la relación de elementos que deban ser retirados o eliminados. A estos, efectos, podrá recabarse informe de una comisión técnica de expertos.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2. Podrán incluirse en el mismo aquellos elementos que se soliciten por las víctimas, sus familiares o las entidades memorialistas, en defensa de su derecho al honor y la dignidad, o resulten de estudios y trabajos de investigación.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3. Las solicitudes contendrán la descripción física del elemento, con fotografía y exacta ubicación del mismo, así como las razones fundamentalmente historiográficas por las que debe considerarse contrario a la memoria democrática. </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38. Procedimiento de retirada o eliminación de elementos contrarios a la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No habiéndose producido la retirada o eliminación de los elementos incluidos en el catálogo a que se refiere el artículo anterior, de manera voluntaria, la administración pública competente incoará de oficio el procedimiento para la retirada de dichos elementos.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En todo caso se dará trámite de audiencia a las personas interesadas por un plazo de quince días hábiles.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3. El procedimiento se resolverá y notificará en el plazo máximo de seis meses desde la fecha de su incoación.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La resolución por la que se acuerde la retirada de elementos y símbolos contrarios a la memoria democrática recogerá siempre el plazo para efectuarla, no siendo este superior a tres meses.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4. Transcurrido el plazo dado sin que se haya procedido a la retirada de dichos elementos, la administración competente podrá realizar la retirada subsidiariamente, de acuerdo con lo previsto en el artículo 102 de la Ley 39/2015, de 1 de octubre, del Procedimiento Administrativo Común de las Administraciones Públicas.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5. La administración competente podrá imponer multas coercitivas, hasta diez sucesivas por períodos de un mes y en cuantía de 200 a 1.000 euros, según la entidad del elemento a retirar, con sujeción a lo establecido en el artículo 103 de la Ley 39/2015, de 1 de octubre, del Procedimiento Administrativo Común de las Administraciones Públicas. </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39. Actos públicos contrarios a la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Las administraciones públicas, en el marco de sus competencias, prevendrán y evitarán la realización de actos efectuados en público que entrañen descrédito, menosprecio o humillación de las víctimas o de sus familiares, y supongan exaltación del golpe militar o de la dictadura franquista, u homenaje o concesión de distinciones a las personas físicas o jurídicas que apoyaron el golpe militar y la Dictadura.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A tal efecto, si en la celebración de un acto público de esa naturaleza se advirtieran hechos que pudieran ser constitutivos de delito, se pondrán los mismos en conocimiento </w:t>
      </w:r>
      <w:proofErr w:type="gramStart"/>
      <w:r>
        <w:rPr>
          <w:rFonts w:ascii="Arial" w:eastAsia="Arial" w:hAnsi="Arial" w:cs="Arial"/>
        </w:rPr>
        <w:t>del  Ministerio</w:t>
      </w:r>
      <w:proofErr w:type="gramEnd"/>
      <w:r>
        <w:rPr>
          <w:rFonts w:ascii="Arial" w:eastAsia="Arial" w:hAnsi="Arial" w:cs="Arial"/>
        </w:rPr>
        <w:t xml:space="preserve"> Fiscal.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Los Ayuntamientos impedirán, en particular, la celebración de actos de la naturaleza descrita en la proximidad de las zonas incluidas en los mapas de fosas, los lugares de memoria democrática, así como de los monumentos o elementos análogos erigidos en recuerdo y reconocimiento de las víctimas.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3. Los restos mortales de dirigentes del golpe militar de 1936 no podrán ser ni permanecer inhumados en un lugar preeminente de acceso público, distinto a un cementerio, que pueda favorecer la realización de actos públicos de exaltación, enaltecimiento o conmemoración de las violaciones de derechos </w:t>
      </w:r>
      <w:r>
        <w:rPr>
          <w:rFonts w:ascii="Arial" w:eastAsia="Arial" w:hAnsi="Arial" w:cs="Arial"/>
        </w:rPr>
        <w:lastRenderedPageBreak/>
        <w:t>humanos cometidas durante la Guerra Civil o la Dictadura. Corresponderá a las administraciones públicas garantizar lo dispuesto en este apartado.</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40. Privación de ayudas y subvenciones.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Conforme al ordenamiento jurídico, las administraciones públicas no subvencionarán, bonificarán o prestarán ayudas públicas a aquellas personas físicas o jurídicas, públicas o privadas, sancionadas por resolución administrativa firme por atentar, alentar o tolerar prácticas en contra de la memoria democrática, conforme a lo establecido en el Título IV de esta ley.</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Las administraciones públicas en ningún caso podrán otorgar ayudas que tengan por objeto la realización de una actividad o el cumplimiento de una finalidad que atente, aliente o tolere prácticas recogidas en el Título IV de esta ley.</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A efectos de dar cumplimiento a lo establecido en este artículo, por el departamento competente en materia de memoria democrática se establecerá una base de datos que permita cruces informáticos para el seguimiento y comprobación de aquellas personas físicas o jurídicas, públicas o privadas, que hayan sido sancionadas por resolución administrativa firme en aplicación de esta ley.</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center"/>
        <w:rPr>
          <w:rFonts w:ascii="Arial" w:eastAsia="Arial" w:hAnsi="Arial" w:cs="Arial"/>
          <w:b/>
        </w:rPr>
      </w:pPr>
      <w:r>
        <w:rPr>
          <w:rFonts w:ascii="Arial" w:eastAsia="Arial" w:hAnsi="Arial" w:cs="Arial"/>
          <w:b/>
        </w:rPr>
        <w:t>Sección 2ª Distinciones, condecoraciones y títulos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41. Revisión de reconocimientos, honores y distinciones.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b/>
        </w:rPr>
      </w:pPr>
      <w:r>
        <w:rPr>
          <w:rFonts w:ascii="Arial" w:eastAsia="Arial" w:hAnsi="Arial" w:cs="Arial"/>
        </w:rPr>
        <w:t>“Las administraciones públicas, en el ejercicio de sus competencias y con arreglo a los correspondientes procedimientos, adoptarán las medidas oportunas para revisar de oficio o revocar la concesión de reconocimientos, honores y distinciones anteriores a la entrada en vigor de esta ley que resulten manifiestamente incompatibles con los valores democráticos y los derechos y libertades fundamentales, que comporten exaltación o enaltecimiento de las sublevación militar, la Guerra Civil o la Dictadura o que hubieran sido concedidas con motivo de haber formado parte del aparato de represión de la dictadura franquista.”</w:t>
      </w:r>
    </w:p>
    <w:p w:rsidR="00713587" w:rsidRDefault="001B676B">
      <w:pPr>
        <w:spacing w:line="288" w:lineRule="auto"/>
        <w:ind w:left="360" w:right="172"/>
        <w:jc w:val="both"/>
        <w:rPr>
          <w:rFonts w:ascii="Arial" w:eastAsia="Arial" w:hAnsi="Arial" w:cs="Arial"/>
          <w:b/>
        </w:rPr>
      </w:pPr>
      <w:r>
        <w:rPr>
          <w:rFonts w:ascii="Arial" w:eastAsia="Arial" w:hAnsi="Arial" w:cs="Arial"/>
          <w:b/>
        </w:rPr>
        <w:t>Artículo 42. Supresión de títulos nobiliarios.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 xml:space="preserve">1. La persona titular del ministerio competente en la gestión de los asuntos relativos a los títulos nobiliarios y grandezas de España o, por delegación, el órgano designado por aquella, </w:t>
      </w:r>
      <w:proofErr w:type="gramStart"/>
      <w:r>
        <w:rPr>
          <w:rFonts w:ascii="Arial" w:eastAsia="Arial" w:hAnsi="Arial" w:cs="Arial"/>
        </w:rPr>
        <w:t>elaborará  un</w:t>
      </w:r>
      <w:proofErr w:type="gramEnd"/>
      <w:r>
        <w:rPr>
          <w:rFonts w:ascii="Arial" w:eastAsia="Arial" w:hAnsi="Arial" w:cs="Arial"/>
        </w:rPr>
        <w:t xml:space="preserve"> catálogo de títulos nobiliarios concedidos entre 1948 y 1978, que representen la exaltación de la Guerra Civil y Dictadura, y se procederá a su supresión.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Queda suprimida la Orden Imperial del Yugo y las Flechas.</w:t>
      </w:r>
    </w:p>
    <w:p w:rsidR="00713587" w:rsidRDefault="00713587">
      <w:pPr>
        <w:spacing w:line="288" w:lineRule="auto"/>
        <w:ind w:left="360" w:right="172"/>
        <w:jc w:val="both"/>
        <w:rPr>
          <w:rFonts w:ascii="Arial" w:eastAsia="Arial" w:hAnsi="Arial" w:cs="Arial"/>
          <w:b/>
        </w:rPr>
      </w:pPr>
      <w:bookmarkStart w:id="15" w:name="_35nkun2" w:colFirst="0" w:colLast="0"/>
      <w:bookmarkEnd w:id="15"/>
    </w:p>
    <w:p w:rsidR="00713587" w:rsidRDefault="001B676B">
      <w:pPr>
        <w:spacing w:line="288" w:lineRule="auto"/>
        <w:ind w:left="360" w:right="172"/>
        <w:jc w:val="both"/>
        <w:rPr>
          <w:rFonts w:ascii="Arial" w:eastAsia="Arial" w:hAnsi="Arial" w:cs="Arial"/>
          <w:b/>
        </w:rPr>
      </w:pPr>
      <w:r>
        <w:rPr>
          <w:rFonts w:ascii="Arial" w:eastAsia="Arial" w:hAnsi="Arial" w:cs="Arial"/>
          <w:b/>
        </w:rPr>
        <w:t>Artículo 43. Revisión y revocación de condecoraciones y recompensas.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Las condecoraciones y recompensas concedidas con anterioridad a la entrada en vigor de esta ley, podrán revocarse cuando quede acreditado que el beneficiario, antes o después de la concesión, con motivo de haber formado parte del aparato de represión de la dictadura franquista, hubiera realizado actos u observado conductas manifiestamente incompatibles con los valores democráticos y los principios rectores de protección de los derechos humanos, así como con los requisitos para su concesión.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Dichos actos o conductas podrán resultar de sentencia penal firme, de diligencias judiciales, de la Fiscalía o policiales, de la imposición de sanción disciplinaria firme o de cualquier otro medio de prueba admisible en derecho.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3. La revocación de las recompensas concedidas antes de la entrada en vigor de esta ley exigirá la tramitación de un procedimiento contradictorio, que solo podrá iniciarse de oficio y a iniciativa del titular del departamento competente, y se instruirá y resolverá por los órganos competentes para tramitar los procedimientos de concesión.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4. La revocación también podrá llevarse a cabo a título póstumo cuando la persona condecorada ya hubiera fallecido. En todo caso, la revocación determinará la pérdida de todos los derechos anejos a la recompensa, incluso los económicos, y producirá efectos a partir de la notificación de la resolución que la declare.</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center"/>
        <w:rPr>
          <w:rFonts w:ascii="Arial" w:eastAsia="Arial" w:hAnsi="Arial" w:cs="Arial"/>
          <w:b/>
        </w:rPr>
      </w:pPr>
      <w:r>
        <w:rPr>
          <w:rFonts w:ascii="Arial" w:eastAsia="Arial" w:hAnsi="Arial" w:cs="Arial"/>
          <w:b/>
        </w:rPr>
        <w:t>Sección 3ª Conocimiento y divulgación</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44. Finalidad de fomento de las políticas de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 xml:space="preserve">Las acciones de la Administración General del Estado en materia de memoria democrática se orientarán en todo caso al fomento de los valores democráticos y de convivencia. En todo caso, se garantizará que cuenten con un componente pedagógico adecuado al ámbito en el que se desarrollen. </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45. Medidas en materia educativa y de formación del profesorado.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1. El sistema educativo español incluirá entre sus fines el conocimiento de la historia y de la memoria democrática española y la lucha por los valores y libertades democráticas.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A tal efecto, se procederá a la actualización de los contenidos curriculares para Educación Secundaria Obligatoria y Bachillerato.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Las administraciones educativas adoptarán las medidas necesarias para que en los planes de formación inicial y permanente del profesorado se incluyan formaciones, actualización científica, didáctica y pedagógica en relación con el tratamiento escolar de la memoria democrática.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46. Medidas en materia de investigación.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La Administración General del Estado, en colaboración con las universidades, los organismos públicos de investigación y</w:t>
      </w:r>
      <w:r>
        <w:t xml:space="preserve"> </w:t>
      </w:r>
      <w:r>
        <w:rPr>
          <w:rFonts w:ascii="Arial" w:eastAsia="Arial" w:hAnsi="Arial" w:cs="Arial"/>
        </w:rPr>
        <w:t>las corporaciones de derecho público con competencias en la materia, incluidas las Reales Academias de ámbito, fomentará en todos los ámbitos académicos la formación, docencia e investigación en materia de memoria democrática, resaltando el componente europeo y global de la memoria democrática en España.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 xml:space="preserve">Artículo 47. Investigación sobre el exilio y la memoria democrática de las mujeres.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La Administración General del Estado impulsará actividades de investigación y difusión sobre el exilio, con el fin de dar a conocer las trayectorias individuales y colectivas de quienes lo padecieron y sus lugares de memoria, así como su aportación a la restauración de la democracia española y al desarrollo de los países en los que residieron.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 xml:space="preserve">2. Asimismo, fomentará las investigaciones relativas a la contribución de </w:t>
      </w:r>
      <w:proofErr w:type="gramStart"/>
      <w:r>
        <w:rPr>
          <w:rFonts w:ascii="Arial" w:eastAsia="Arial" w:hAnsi="Arial" w:cs="Arial"/>
        </w:rPr>
        <w:t>las  mujeres</w:t>
      </w:r>
      <w:proofErr w:type="gramEnd"/>
      <w:r>
        <w:rPr>
          <w:rFonts w:ascii="Arial" w:eastAsia="Arial" w:hAnsi="Arial" w:cs="Arial"/>
        </w:rPr>
        <w:t xml:space="preserve"> en el ámbito de la memoria democrática, tanto en su condición de víctimas de una represión específica, como en lo relativo a su participación en la vida política, económica, social y cultural.  </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48. Planes de formación en la Administración General del Estado.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bookmarkStart w:id="16" w:name="_1ksv4uv" w:colFirst="0" w:colLast="0"/>
      <w:bookmarkEnd w:id="16"/>
      <w:r>
        <w:rPr>
          <w:rFonts w:ascii="Arial" w:eastAsia="Arial" w:hAnsi="Arial" w:cs="Arial"/>
        </w:rPr>
        <w:t>En el marco de los planes de formación continua de la Administración General del Estado, así como en las actividades formativas que integran los procesos de selección, se incorporarán contenidos específicos de capacitación y sensibilización en relación con la memoria democrática, especialmente en el caso de la formación dirigida al personal que en el desempeño de sus funciones se relacione con víctimas de la Guerra Civil y de la Dictadura. Dichos contenidos se elaborarán teniendo en cuenta la perspectiva de género.</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49. Acciones de divulgación, satisfacción y reparación simbólica.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La Administración General del Estado promoverá el conocimiento de la memoria democrática española mediante programas específicos de divulgación que incluirán el relato de las víctimas y específicamente la memoria de las mujeres.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Asimismo, realizará acciones tendentes a restablecer la dignidad de las víctimas y a difundir lo sucedido mediante:</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a) Reconocimiento público del carácter de víctima, de su dignidad, nombre y honor.</w:t>
      </w:r>
    </w:p>
    <w:p w:rsidR="00713587" w:rsidRDefault="001B676B">
      <w:pPr>
        <w:spacing w:line="288" w:lineRule="auto"/>
        <w:ind w:left="360" w:right="172"/>
        <w:jc w:val="both"/>
        <w:rPr>
          <w:rFonts w:ascii="Arial" w:eastAsia="Arial" w:hAnsi="Arial" w:cs="Arial"/>
        </w:rPr>
      </w:pPr>
      <w:r>
        <w:rPr>
          <w:rFonts w:ascii="Arial" w:eastAsia="Arial" w:hAnsi="Arial" w:cs="Arial"/>
        </w:rPr>
        <w:t>b) Actos conmemorativos y homenajes públicos.</w:t>
      </w:r>
    </w:p>
    <w:p w:rsidR="00713587" w:rsidRDefault="001B676B">
      <w:pPr>
        <w:spacing w:line="288" w:lineRule="auto"/>
        <w:ind w:left="360" w:right="172"/>
        <w:jc w:val="both"/>
        <w:rPr>
          <w:rFonts w:ascii="Arial" w:eastAsia="Arial" w:hAnsi="Arial" w:cs="Arial"/>
        </w:rPr>
      </w:pPr>
      <w:r>
        <w:rPr>
          <w:rFonts w:ascii="Arial" w:eastAsia="Arial" w:hAnsi="Arial" w:cs="Arial"/>
        </w:rPr>
        <w:t>c) Reconocimientos públicos y solicitudes de perdón.</w:t>
      </w:r>
    </w:p>
    <w:p w:rsidR="00713587" w:rsidRDefault="001B676B">
      <w:pPr>
        <w:spacing w:line="288" w:lineRule="auto"/>
        <w:ind w:left="360" w:right="172"/>
        <w:jc w:val="both"/>
        <w:rPr>
          <w:rFonts w:ascii="Arial" w:eastAsia="Arial" w:hAnsi="Arial" w:cs="Arial"/>
        </w:rPr>
      </w:pPr>
      <w:r>
        <w:rPr>
          <w:rFonts w:ascii="Arial" w:eastAsia="Arial" w:hAnsi="Arial" w:cs="Arial"/>
        </w:rPr>
        <w:t>d) Diseño e instalación de lugares de memoria públicos, con perspectiva de reparación a las víctimas y profundización y consolidación de la memoria democrática.</w:t>
      </w:r>
    </w:p>
    <w:p w:rsidR="00713587" w:rsidRDefault="001B676B">
      <w:pPr>
        <w:spacing w:line="288" w:lineRule="auto"/>
        <w:ind w:left="360" w:right="172"/>
        <w:jc w:val="both"/>
        <w:rPr>
          <w:rFonts w:ascii="Arial" w:eastAsia="Arial" w:hAnsi="Arial" w:cs="Arial"/>
        </w:rPr>
      </w:pPr>
      <w:r>
        <w:rPr>
          <w:rFonts w:ascii="Arial" w:eastAsia="Arial" w:hAnsi="Arial" w:cs="Arial"/>
        </w:rPr>
        <w:t xml:space="preserve">e) Impulso permanente del conocimiento del exilio y sus lugares de memoria.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center"/>
        <w:rPr>
          <w:rFonts w:ascii="Arial" w:eastAsia="Arial" w:hAnsi="Arial" w:cs="Arial"/>
          <w:b/>
        </w:rPr>
      </w:pPr>
      <w:r>
        <w:rPr>
          <w:rFonts w:ascii="Arial" w:eastAsia="Arial" w:hAnsi="Arial" w:cs="Arial"/>
          <w:b/>
        </w:rPr>
        <w:t>Sección 4ª Lugares de memoria democrática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50. Lugares de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Lugar de Memoria Democrática es aquel espacio, inmueble, paraje o patrimonio cultural inmaterial o intangible en el que se han desarrollado o plasmado hechos de singular relevancia por su significación histórica, simbólica o por su repercusión en la memoria colectiva, vinculados a la memoria democrática, la lucha de la ciudadanía española por sus derechos y libertades, la memoria de las mujeres, así como con la represión y violencia sobre la población como consecuencia de la resistencia al golpe de Estado de julio de 1936, la Guerra Civil, la Dictadura, el exilio y la lucha por la recuperación y profundización de los valores democráticos.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51. Declaración de lugares de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1. El procedimiento de declaración de Lugar de Memoria podrá incoarse de oficio por la Dirección General competente en materia de memoria democrática, o a instancia de entidades memorialistas y asociaciones de </w:t>
      </w:r>
      <w:proofErr w:type="gramStart"/>
      <w:r>
        <w:rPr>
          <w:rFonts w:ascii="Arial" w:eastAsia="Arial" w:hAnsi="Arial" w:cs="Arial"/>
        </w:rPr>
        <w:t>víctimas  de</w:t>
      </w:r>
      <w:proofErr w:type="gramEnd"/>
      <w:r>
        <w:rPr>
          <w:rFonts w:ascii="Arial" w:eastAsia="Arial" w:hAnsi="Arial" w:cs="Arial"/>
        </w:rPr>
        <w:t xml:space="preserve"> la Guerra Civil y la Dictadura. </w:t>
      </w:r>
      <w:proofErr w:type="gramStart"/>
      <w:r>
        <w:rPr>
          <w:rFonts w:ascii="Arial" w:eastAsia="Arial" w:hAnsi="Arial" w:cs="Arial"/>
        </w:rPr>
        <w:t>En  este</w:t>
      </w:r>
      <w:proofErr w:type="gramEnd"/>
      <w:r>
        <w:rPr>
          <w:rFonts w:ascii="Arial" w:eastAsia="Arial" w:hAnsi="Arial" w:cs="Arial"/>
        </w:rPr>
        <w:t xml:space="preserve"> caso, se instará la declaración mediante solicitud, que incluirá como mínimo la identificación del bien, así como de los valores materiales, históricos intangibles o simbólicos que justifican su declaración, y en el caso de patrimonio material, su delimitación cartográfica con sus correspondientes coordenadas geográficas.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2. En los supuestos de incoación de oficio, el acuerdo de incoación, que será motivado, incluirá además del contenido de la solicitud reseñado en el párrafo anterior, el régimen de protección y usos compatibles y, en su caso, las medidas cautelares necesarias para la protección y conservación del bien.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Dicho acuerdo de incoación se </w:t>
      </w:r>
      <w:proofErr w:type="gramStart"/>
      <w:r>
        <w:rPr>
          <w:rFonts w:ascii="Arial" w:eastAsia="Arial" w:hAnsi="Arial" w:cs="Arial"/>
        </w:rPr>
        <w:t>publicará  en</w:t>
      </w:r>
      <w:proofErr w:type="gramEnd"/>
      <w:r>
        <w:rPr>
          <w:rFonts w:ascii="Arial" w:eastAsia="Arial" w:hAnsi="Arial" w:cs="Arial"/>
        </w:rPr>
        <w:t xml:space="preserve"> el «Boletín Oficial del Estado», siendo preceptivo en el procedimiento trámite de información pública, de audiencia a los particulares directamente afectados y de audiencia al municipio donde radique el lugar.</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La incoación llevará aparejada la anotación preventiva del bien en el Inventario de Lugares de Memoria Democrática y determinará la aplicación provisional del régimen de protección previsto para los lugares inscritos en el mismo.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4. La resolución del procedimiento corresponderá a la Secretaría de Estado de Memoria Democrática, a propuesta de la persona titular de la Dirección General competente en materia de memoria democrática. El acuerdo será </w:t>
      </w:r>
      <w:r>
        <w:rPr>
          <w:rFonts w:ascii="Arial" w:eastAsia="Arial" w:hAnsi="Arial" w:cs="Arial"/>
        </w:rPr>
        <w:lastRenderedPageBreak/>
        <w:t>notificado a los interesados directamente afectados y publicado en el «Boletín Oficial del Estado», e inscrito en el Inventario de Lugares de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5. El expediente se resolverá y notificará en el plazo máximo de doce meses desde la fecha de su incoación.</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52. Inventario de Lugares de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1. Se crea el Inventario de Lugares de Memoria Democrática, como instrumento de publicidad y </w:t>
      </w:r>
      <w:proofErr w:type="gramStart"/>
      <w:r>
        <w:rPr>
          <w:rFonts w:ascii="Arial" w:eastAsia="Arial" w:hAnsi="Arial" w:cs="Arial"/>
        </w:rPr>
        <w:t>conocimiento  de</w:t>
      </w:r>
      <w:proofErr w:type="gramEnd"/>
      <w:r>
        <w:rPr>
          <w:rFonts w:ascii="Arial" w:eastAsia="Arial" w:hAnsi="Arial" w:cs="Arial"/>
        </w:rPr>
        <w:t xml:space="preserve"> los mismos, donde se incluirán los espacios, inmuebles o parajes que reúnan las características definidas en el artículo anterior. El inventario se plasmará en un mapa integrado, con finalidad informativa, conmemorativa y didáctica.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El Inventario es público y su consulta, telemática o presencial, será gratuita, correspondiendo su organización, gestión y divulgación al departamento competente en materia de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Los lugares que hayan sido declarados con base en circunstancias análogas o características similares a las definidas en el artículo anterior por comunidades autónomas o entidades locales conforme a su normativa propia, podrán incorporarse al inventario a efectos de su divulgación y publicidad, de acuerdo con las administraciones que los hubieran declarado.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4. Cada lugar de la memoria inscrito tendrá su correspondiente ficha registral, en la que constará la identificación del bien, información debidamente documentada de los valores materiales, históricos o simbólicos que justifican su inscripción, así como delimitación cartográfica con sus correspondientes coordenadas geográficas, en su caso.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Respecto de los bienes inmateriales o intangibles, el inventario deberá contener la identificación de los bienes y la información más completa posible sobre los mismos, en los soportes documentales más adecuados.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53. Protección de los lugares de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1. Sin perjuicio del régimen de protección que pueda corresponderles en su caso de conformidad con la normativa de patrimonio histórico, urbanística u </w:t>
      </w:r>
      <w:r>
        <w:rPr>
          <w:rFonts w:ascii="Arial" w:eastAsia="Arial" w:hAnsi="Arial" w:cs="Arial"/>
        </w:rPr>
        <w:lastRenderedPageBreak/>
        <w:t xml:space="preserve">otra sectorial, las administraciones públicas que sean titulares de bienes declarados lugares de memoria democrática, con carácter general, estarán obligadas a garantizar su perdurabilidad, identificación, explicación y señalización adecuada. En todo caso, las administraciones públicas evitarán la remoción o desaparición de vestigios erigidos en recuerdo y reconocimiento de hechos representativos de la memoria democrática y la lucha de la ciudadanía española por sus derechos y libertades en cualquier época.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En los casos en que los titulares sean privados, se procurará conseguir estos objetivos mediante acuerdos entre el departamento competente en materia de memoria democrática y las personas o entidades titulares.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Aquellos lugares declarados por otras administraciones públicas incluidos en el inventario, conforme al apartado 3 del artículo 52, se regirán en cuanto a los deberes de protección, conservación y uso a lo establecido en la normativa conforme a la que fueron declarados.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54. Difusión, interpretación y promoción ciudadana.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Los lugares de memoria democrática tienen una función conmemorativa y didáctica. Para cada uno de ellos, el departamento competente en esta materia establecerá medios de difusión e interpretación de lo acaecido en el mismo. Reglamentariamente se determinarán los materiales, condiciones y medios de difusión apropiados, así como la participación y colaboración de las entidades locales del entorno, las universidades públicas, los organismos públicos de investigación, las entidades memorialistas y las asociaciones del exilio con sede en otros países.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2. La Administración General del Estado impulsará recursos audiovisuales y digitales explicativos de los lugares de memoria y promoverá la instalación de placas, paneles o algún distintivo </w:t>
      </w:r>
      <w:proofErr w:type="gramStart"/>
      <w:r>
        <w:rPr>
          <w:rFonts w:ascii="Arial" w:eastAsia="Arial" w:hAnsi="Arial" w:cs="Arial"/>
        </w:rPr>
        <w:t>memorial  interpretativo</w:t>
      </w:r>
      <w:proofErr w:type="gramEnd"/>
      <w:r>
        <w:rPr>
          <w:rFonts w:ascii="Arial" w:eastAsia="Arial" w:hAnsi="Arial" w:cs="Arial"/>
        </w:rPr>
        <w:t xml:space="preserve"> en los mismos. En el supuesto de que en dicho espacio se hubieran cometido crímenes de lesa humanidad o contrarios a los derechos humanos y trabajos forzosos, se señalizará un punto de reconocimiento de las víctimas indicando cuantos datos sean de interés para el conocimiento público de los hechos.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3. El departamento competente en materia de memoria democrática presentará los emplazamientos más emblemáticos de la memoria a través de </w:t>
      </w:r>
      <w:r>
        <w:rPr>
          <w:rFonts w:ascii="Arial" w:eastAsia="Arial" w:hAnsi="Arial" w:cs="Arial"/>
        </w:rPr>
        <w:lastRenderedPageBreak/>
        <w:t>su geolocalización en su portal web. Cada espacio o lugar identificado incluirá una ficha con fotografías y audiovisuales.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strike/>
        </w:rPr>
      </w:pPr>
      <w:r>
        <w:rPr>
          <w:rFonts w:ascii="Arial" w:eastAsia="Arial" w:hAnsi="Arial" w:cs="Arial"/>
        </w:rPr>
        <w:t>4. El departamento competente en materia de memoria democrática establecerá la identidad gráfica de los lugares de memoria democrática para su señalización y difusión oficial, en su caso, de acuerdo con la normativa vigente en materia de imagen institucional.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5. El departamento competente en materia de memoria democrática impulsará, mediante acuerdos con las comunidades autónomas, entidades locales implicadas, asociaciones del exilio con sede en otros países y en colaboración con los departamentos con competencias en patrimonio histórico, educación, medio ambiente y turismo, la adecuada promoción de lugares e itinerarios, físicos y virtuales, de memoria y democrática con el objeto de que puedan ser debidamente conocidos y visitados.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A estos efectos, se entiende por itinerarios de memoria democrática el conjunto formado por dos o más lugares de memoria democrática, materiales o inmateriales, que coincidan en el espacio y tengan criterios interpretativos comunes de carácter histórico o simbólico, sin perjuicio de que concurran otros valores relevantes de carácter arquitectónico, paisajístico o de tipo ambiental, etnográfico o antropológico.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6. Se desarrollarán mecanismos institucionales para integrar los lugares de memoria democrática en los circuitos internacionales que respondan a situaciones de construcción de memoria democrática semejantes, vinculados con conflictos y violaciones de los derechos humanos, especialmente en el ámbito europeo e iberoamericano</w:t>
      </w:r>
      <w:r>
        <w:rPr>
          <w:rFonts w:ascii="Arial" w:eastAsia="Arial" w:hAnsi="Arial" w:cs="Arial"/>
          <w:strike/>
        </w:rPr>
        <w:t>.</w:t>
      </w:r>
      <w:r>
        <w:rPr>
          <w:rFonts w:ascii="Arial" w:eastAsia="Arial" w:hAnsi="Arial" w:cs="Arial"/>
        </w:rPr>
        <w:t xml:space="preserve"> Particularmente, se potenciará el conocimiento y protección de los campos de exterminio o trabajo forzoso en los que fueron confinados miles de exiliados o disidentes, en coordinación con los estados en los que se encuentren ubicados.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 xml:space="preserve">Artículo 55. Valle de los Caídos.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1. El Valle de los Caídos es un lugar de memoria democrática cuya </w:t>
      </w:r>
      <w:proofErr w:type="spellStart"/>
      <w:r>
        <w:rPr>
          <w:rFonts w:ascii="Arial" w:eastAsia="Arial" w:hAnsi="Arial" w:cs="Arial"/>
        </w:rPr>
        <w:t>resignificación</w:t>
      </w:r>
      <w:proofErr w:type="spellEnd"/>
      <w:r>
        <w:rPr>
          <w:rFonts w:ascii="Arial" w:eastAsia="Arial" w:hAnsi="Arial" w:cs="Arial"/>
        </w:rPr>
        <w:t xml:space="preserve"> irá destinada a dar a conocer, a través de planes y mecanismos de investigación y difusión, las circunstancias de su construcción, el periodo histórico en el que se inserta y su significado, con el fin de fortalecer los valores constitucionales y democráticos.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En ningún lugar del recinto podrán llevarse a cabo actos de naturaleza política ni exaltadores de la Guerra Civil, de sus protagonistas o de la Dictadura.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Las criptas adyacentes a la Basílica y los enterramientos existentes en la misma tienen el carácter de cementerio civil.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4. En el Valle de los Caídos solo podrán yacer los restos mortales de personas fallecidas a consecuencia de la Guerra Civil, como lugar de reconocimiento, conmemoración, recuerdo y homenaje a las víctimas allí inhumadas.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Asimismo, se procederá a la reubicación de cualquier resto mortal que ocupe un lugar preeminente en el recinto.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5. Se declara extinguida la Fundación de la Santa Cruz del Valle de los Caídos, por resultar incompatibles sus fines con los principios y valores constitucionales. La extinción producirá efectos en la fecha de entrada en vigor del real decreto al que se refiere el apartado siguiente.</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6. Mediante real decreto se establecerá el nuevo marco jurídico aplicable al Valle de los </w:t>
      </w:r>
      <w:proofErr w:type="gramStart"/>
      <w:r>
        <w:rPr>
          <w:rFonts w:ascii="Arial" w:eastAsia="Arial" w:hAnsi="Arial" w:cs="Arial"/>
        </w:rPr>
        <w:t>Caídos  que</w:t>
      </w:r>
      <w:proofErr w:type="gramEnd"/>
      <w:r>
        <w:rPr>
          <w:rFonts w:ascii="Arial" w:eastAsia="Arial" w:hAnsi="Arial" w:cs="Arial"/>
        </w:rPr>
        <w:t xml:space="preserve"> determine la organización, funcionamiento y régimen patrimonial.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7. Se atenderán las reclamaciones y peticiones de exhumación de los familiares que hayan solicitado o soliciten la entrega de los restos de las víctimas inhumadas en el Valle de los Caídos. Para el caso de imposibilidad técnica de exhumación, se acordarán medidas de reparación de carácter simbólico y moral.</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bookmarkStart w:id="17" w:name="_44sinio" w:colFirst="0" w:colLast="0"/>
      <w:bookmarkEnd w:id="17"/>
      <w:r>
        <w:rPr>
          <w:rFonts w:ascii="Arial" w:eastAsia="Arial" w:hAnsi="Arial" w:cs="Arial"/>
          <w:b/>
        </w:rPr>
        <w:t>Artículo 56. Panteón de España.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Se modifica la denominación tradicional del llamado “Panteón de Hombres Ilustres”, para ser denominado Panteón de España.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2. El Panteón de España es un lugar de memoria democrática que tendrá por finalidad mantener el recuerdo y proyección de los representantes de la historia de la democracia española, así como de aquellas personas que hayan destacado por sus excepcionales servicios a España en la garantía de la </w:t>
      </w:r>
      <w:r>
        <w:rPr>
          <w:rFonts w:ascii="Arial" w:eastAsia="Arial" w:hAnsi="Arial" w:cs="Arial"/>
        </w:rPr>
        <w:lastRenderedPageBreak/>
        <w:t>convivencia democrática, la defensa de la paz y los derechos humanos o el progreso de la cultura en todas sus manifestaciones.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Con el objetivo de cumplir la importante misión educativa y de trasmisión de valores, la autoridad pública competente diseñará y pondrá en práctica un programa de mediación cultural y divulgación que acerque al público, especialmente en el marco de la educación obligatoria, la trayectoria y contribución de las personas homenajeadas.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4. El programa de mediación y divulgación incluirá un programa de visitas </w:t>
      </w:r>
      <w:proofErr w:type="gramStart"/>
      <w:r>
        <w:rPr>
          <w:rFonts w:ascii="Arial" w:eastAsia="Arial" w:hAnsi="Arial" w:cs="Arial"/>
        </w:rPr>
        <w:t>escolares  y</w:t>
      </w:r>
      <w:proofErr w:type="gramEnd"/>
      <w:r>
        <w:rPr>
          <w:rFonts w:ascii="Arial" w:eastAsia="Arial" w:hAnsi="Arial" w:cs="Arial"/>
        </w:rPr>
        <w:t xml:space="preserve"> la disposición de los medios telemáticos para que la visita pueda ser realizada de manera virtual.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5. Se desarrollarán programas de colaboración con otras instituciones similares tanto de carácter nacional como internacional para realzar de forma </w:t>
      </w:r>
      <w:proofErr w:type="gramStart"/>
      <w:r>
        <w:rPr>
          <w:rFonts w:ascii="Arial" w:eastAsia="Arial" w:hAnsi="Arial" w:cs="Arial"/>
        </w:rPr>
        <w:t>conjunta  la</w:t>
      </w:r>
      <w:proofErr w:type="gramEnd"/>
      <w:r>
        <w:rPr>
          <w:rFonts w:ascii="Arial" w:eastAsia="Arial" w:hAnsi="Arial" w:cs="Arial"/>
        </w:rPr>
        <w:t xml:space="preserve"> defensa de los valores democráticos y las aportaciones culturales o científicas orientadas a la defensa de la convivencia, la paz y los derechos humanos.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center"/>
        <w:rPr>
          <w:rFonts w:ascii="Arial" w:eastAsia="Arial" w:hAnsi="Arial" w:cs="Arial"/>
          <w:b/>
        </w:rPr>
      </w:pPr>
      <w:r>
        <w:rPr>
          <w:rFonts w:ascii="Arial" w:eastAsia="Arial" w:hAnsi="Arial" w:cs="Arial"/>
          <w:b/>
        </w:rPr>
        <w:t>TÍTULO III</w:t>
      </w:r>
    </w:p>
    <w:p w:rsidR="00713587" w:rsidRDefault="001B676B">
      <w:pPr>
        <w:spacing w:line="288" w:lineRule="auto"/>
        <w:ind w:left="360" w:right="172"/>
        <w:jc w:val="center"/>
        <w:rPr>
          <w:rFonts w:ascii="Arial" w:eastAsia="Arial" w:hAnsi="Arial" w:cs="Arial"/>
          <w:b/>
        </w:rPr>
      </w:pPr>
      <w:r>
        <w:rPr>
          <w:rFonts w:ascii="Arial" w:eastAsia="Arial" w:hAnsi="Arial" w:cs="Arial"/>
          <w:b/>
        </w:rPr>
        <w:t>MOVIMIENTO MEMORIALISTA</w:t>
      </w:r>
    </w:p>
    <w:p w:rsidR="00713587" w:rsidRDefault="00713587">
      <w:pPr>
        <w:spacing w:line="288" w:lineRule="auto"/>
        <w:ind w:left="360" w:right="172"/>
        <w:jc w:val="center"/>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57. Reconocimiento a las asociaciones memorialistas.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rPr>
        <w:t>1. Se reconoce la labor de las asociaciones, fundaciones y organizaciones que hayan destacado en la defensa de la memoria democrática y la dignidad de las víctimas de la Guerra Civil y la Dictadura. Conforme a la normativa aplicable, las autoridades competentes podrán conceder las distinciones que consideren oportunas a las referidas entidades.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A efectos de esta ley, se entiende por entidades memorialistas aquellas asociaciones, fundaciones y otras entidades y organizaciones de carácter social que tengan entre sus fines la defensa de la memoria democrática.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58. Creación del Consejo de la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Se creará el Consejo de la Memoria Democrática adscrito al Ministerio competente en materia de memoria democrática, como órgano colegiado consultivo y de participación de las entidades memorialistas españolas.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El Consejo, cuya presidencia corresponderá a la persona titular del ministerio competente en materia de memoria democrática, estará compuesto por representantes de la Administración General del Estado, de las entidades memorialistas y de expertos en este ámbito. Reglamentariamente se determinará su composición y régimen de funcionamiento, que respetará una representación equilibrada de hombres y mujeres.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El Consejo de la Memoria Democrática tendrá las siguientes funciones: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a) Informar el proyecto del Plan de Memoria </w:t>
      </w:r>
      <w:proofErr w:type="gramStart"/>
      <w:r>
        <w:rPr>
          <w:rFonts w:ascii="Arial" w:eastAsia="Arial" w:hAnsi="Arial" w:cs="Arial"/>
        </w:rPr>
        <w:t>Democrática</w:t>
      </w:r>
      <w:proofErr w:type="gramEnd"/>
      <w:r>
        <w:rPr>
          <w:rFonts w:ascii="Arial" w:eastAsia="Arial" w:hAnsi="Arial" w:cs="Arial"/>
        </w:rPr>
        <w:t xml:space="preserve"> así como el plan plurianual de fosas y conocer los informes anuales de seguimiento y evaluación de los mismos.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b) Informar las propuestas de disposiciones reglamentarias relacionadas con el desarrollo de esta ley.</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c) Elaborar, a propuesta de la presidencia o por iniciativa propia, informes y recomendaciones sobre la política de memoria democrática. El Consejo podrá crear un grupo de trabajo que elabore un informe para sistematizar la información existente sobre las violaciones de derechos humanos durante la Guerra Civil y la Dictadura, con el objeto de superar la fragmentación y dispersión de información y esfuerzos. Igualmente, podrá proponer un plan ordenado de investigaciones, así como la promoción de metodologías y protocolos de actuación en este ámbito.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d) A propuesta de la presidencia del Consejo, se constituirá una Comisión Estatal sobre la </w:t>
      </w:r>
      <w:proofErr w:type="gramStart"/>
      <w:r>
        <w:rPr>
          <w:rFonts w:ascii="Arial" w:eastAsia="Arial" w:hAnsi="Arial" w:cs="Arial"/>
        </w:rPr>
        <w:t>Memoria  y</w:t>
      </w:r>
      <w:proofErr w:type="gramEnd"/>
      <w:r>
        <w:rPr>
          <w:rFonts w:ascii="Arial" w:eastAsia="Arial" w:hAnsi="Arial" w:cs="Arial"/>
        </w:rPr>
        <w:t xml:space="preserve"> la Reconciliación con el Pueblo Gitano en España, que deberá elaborar un informe sobre las medidas para aplicar los principios de verdad, justicia, reparación y no repetición en lo relacionado con la situación histórica del pueblo gitano en España</w:t>
      </w:r>
      <w:r>
        <w:rPr>
          <w:rFonts w:ascii="Arial" w:eastAsia="Arial" w:hAnsi="Arial" w:cs="Arial"/>
          <w:b/>
        </w:rPr>
        <w:t xml:space="preserve">. </w:t>
      </w:r>
      <w:r>
        <w:rPr>
          <w:rFonts w:ascii="Arial" w:eastAsia="Arial" w:hAnsi="Arial" w:cs="Arial"/>
        </w:rPr>
        <w:t>El Consejo</w:t>
      </w:r>
      <w:r>
        <w:rPr>
          <w:rFonts w:ascii="Arial" w:eastAsia="Arial" w:hAnsi="Arial" w:cs="Arial"/>
          <w:b/>
        </w:rPr>
        <w:t xml:space="preserve"> </w:t>
      </w:r>
      <w:r>
        <w:rPr>
          <w:rFonts w:ascii="Arial" w:eastAsia="Arial" w:hAnsi="Arial" w:cs="Arial"/>
        </w:rPr>
        <w:t>determinará su régimen de funcionamiento, competencias y composición, garantizándose, en todo caso, la participación del conjunto de las administraciones públicas y de las asociaciones y organizaciones de representativas del pueblo gitano de ámbito estatal.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e) Valorar y emitir dictamen acerca del informe sobre las ayudas y apoyos que anualmente realice la Administración General del Estado y sobre las medidas que contribuyan a la consecución de los objetivos de esta ley a través de la </w:t>
      </w:r>
      <w:r>
        <w:rPr>
          <w:rFonts w:ascii="Arial" w:eastAsia="Arial" w:hAnsi="Arial" w:cs="Arial"/>
        </w:rPr>
        <w:lastRenderedPageBreak/>
        <w:t>actuación de entidades memorialistas, a las que apoyará en su creación y mantenimiento.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4. Para el cumplimiento de sus funciones, los miembros del Consejo de Memoria podrán acceder a archivos y fondos documentales, tanto oficiales como no oficiales.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5. Reglamentariamente se establecerán las condiciones para que el Consejo pueda contar con un mecanismo formal de validación, presentación formal y difusión de las conclusiones de sus informes, asegurando la participación y el reconocimiento oficial de las víctimas y sus familiares.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59. Registro de Entidades de Memoria Democrática.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Se crea el Registro de Entidades de Memoria Democrática, de carácter público.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Podrán inscribirse en el Registro las entidades memorialistas legalmente constituidas, entre cuyos objetivos y fines estatutarios figure la preservación y difusión de la memoria democrática, siempre que carezcan de ánimo de lucro y actúen y tengan sede en el territorio español. Podrán asimismo inscribirse las entidades memorialistas vinculadas al exilio existentes en otros países.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El Registro dependerá del Ministerio competente en la materia de memoria democrática. Reglamentariamente se determinará su organización, funcionamiento y procedimiento de inscripción.</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center"/>
        <w:rPr>
          <w:rFonts w:ascii="Arial" w:eastAsia="Arial" w:hAnsi="Arial" w:cs="Arial"/>
          <w:b/>
        </w:rPr>
      </w:pPr>
      <w:r>
        <w:rPr>
          <w:rFonts w:ascii="Arial" w:eastAsia="Arial" w:hAnsi="Arial" w:cs="Arial"/>
          <w:b/>
        </w:rPr>
        <w:t>TÍTULO IV</w:t>
      </w:r>
    </w:p>
    <w:p w:rsidR="00713587" w:rsidRDefault="001B676B">
      <w:pPr>
        <w:spacing w:line="288" w:lineRule="auto"/>
        <w:ind w:left="360" w:right="172"/>
        <w:jc w:val="center"/>
        <w:rPr>
          <w:rFonts w:ascii="Arial" w:eastAsia="Arial" w:hAnsi="Arial" w:cs="Arial"/>
          <w:b/>
        </w:rPr>
      </w:pPr>
      <w:r>
        <w:rPr>
          <w:rFonts w:ascii="Arial" w:eastAsia="Arial" w:hAnsi="Arial" w:cs="Arial"/>
          <w:b/>
        </w:rPr>
        <w:t>RÉGIMEN SANCIONADOR</w:t>
      </w:r>
    </w:p>
    <w:p w:rsidR="00713587" w:rsidRDefault="00713587">
      <w:pPr>
        <w:spacing w:line="288" w:lineRule="auto"/>
        <w:ind w:left="360" w:right="172"/>
        <w:jc w:val="center"/>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60. Régimen jurídico.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Las acciones u omisiones que supongan incumplimiento de las obligaciones establecidas en esta ley serán sancionadas conforme a lo previsto en este título, sin perjuicio de otras responsabilidades que pudieran concurrir.</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2. La potestad sancionadora respecto de las infracciones tipificadas en esta ley se ejercerá de conformidad con lo dispuesto en este Título y en las Leyes 39/2015, de 1 de octubre, del Procedimiento Administrativo Común de las </w:t>
      </w:r>
      <w:r>
        <w:rPr>
          <w:rFonts w:ascii="Arial" w:eastAsia="Arial" w:hAnsi="Arial" w:cs="Arial"/>
        </w:rPr>
        <w:lastRenderedPageBreak/>
        <w:t xml:space="preserve">Administraciones Públicas, y 40/2015, de 1 de octubre, de Régimen Jurídico del Sector Público. </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61.  Responsables de la infracción.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Serán responsables como autores las personas físicas o jurídicas que dolosa o negligentemente realicen acciones u omisiones contrarias a esta ley.</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En su caso, serán responsables solidarios de las infracciones previstas en esta ley quienes hubieran ordenado la realización de tales acciones u omisiones.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62. Infracciones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Son infracciones muy graves:</w:t>
      </w:r>
    </w:p>
    <w:p w:rsidR="00713587" w:rsidRDefault="00713587">
      <w:pPr>
        <w:spacing w:line="288" w:lineRule="auto"/>
        <w:ind w:left="360" w:right="172"/>
        <w:jc w:val="both"/>
        <w:rPr>
          <w:rFonts w:ascii="Arial" w:eastAsia="Arial" w:hAnsi="Arial" w:cs="Arial"/>
        </w:rPr>
      </w:pPr>
    </w:p>
    <w:p w:rsidR="00713587" w:rsidRDefault="001B676B">
      <w:pPr>
        <w:numPr>
          <w:ilvl w:val="0"/>
          <w:numId w:val="2"/>
        </w:numPr>
        <w:spacing w:line="288" w:lineRule="auto"/>
        <w:ind w:left="851" w:right="172"/>
        <w:jc w:val="both"/>
        <w:rPr>
          <w:rFonts w:ascii="Arial" w:eastAsia="Arial" w:hAnsi="Arial" w:cs="Arial"/>
        </w:rPr>
      </w:pPr>
      <w:r>
        <w:rPr>
          <w:rFonts w:ascii="Arial" w:eastAsia="Arial" w:hAnsi="Arial" w:cs="Arial"/>
        </w:rPr>
        <w:t>El traslado de los restos de víctimas de la Guerra Civil o la Dictadura sin la autorización administrativa a que se refiere el artículo 19.</w:t>
      </w:r>
    </w:p>
    <w:p w:rsidR="00713587" w:rsidRDefault="001B676B">
      <w:pPr>
        <w:numPr>
          <w:ilvl w:val="0"/>
          <w:numId w:val="2"/>
        </w:numPr>
        <w:spacing w:line="288" w:lineRule="auto"/>
        <w:ind w:left="851" w:right="172"/>
        <w:jc w:val="both"/>
        <w:rPr>
          <w:rFonts w:ascii="Arial" w:eastAsia="Arial" w:hAnsi="Arial" w:cs="Arial"/>
        </w:rPr>
      </w:pPr>
      <w:r>
        <w:rPr>
          <w:rFonts w:ascii="Arial" w:eastAsia="Arial" w:hAnsi="Arial" w:cs="Arial"/>
        </w:rPr>
        <w:t>La destrucción de fosas de víctimas de la Guerra Civil y la Dictadura.</w:t>
      </w:r>
    </w:p>
    <w:p w:rsidR="00713587" w:rsidRDefault="001B676B">
      <w:pPr>
        <w:numPr>
          <w:ilvl w:val="0"/>
          <w:numId w:val="2"/>
        </w:numPr>
        <w:spacing w:line="288" w:lineRule="auto"/>
        <w:ind w:left="851" w:right="172"/>
        <w:jc w:val="both"/>
        <w:rPr>
          <w:rFonts w:ascii="Arial" w:eastAsia="Arial" w:hAnsi="Arial" w:cs="Arial"/>
        </w:rPr>
      </w:pPr>
      <w:r>
        <w:rPr>
          <w:rFonts w:ascii="Arial" w:eastAsia="Arial" w:hAnsi="Arial" w:cs="Arial"/>
        </w:rPr>
        <w:t xml:space="preserve">La destrucción o menoscabo de lugares declarados como Lugar de Memoria Democrática, de elementos simbólicos en memoria u homenaje de las víctimas de la dictadura franquista, así como la remoción o desaparición de vestigios erigidos en recuerdo y reconocimiento de hechos representativos de la memoria democrática y la lucha de la ciudadanía española por sus derechos y libertades en cualquier época, cuando las características del lugar, elemento o vestigio, su valor artístico o la relevancia de los acontecimientos históricos que tuvieron lugar en el mismo, o la gravedad de la alteración física perpetrada justifiquen su calificación como muy grave. </w:t>
      </w:r>
    </w:p>
    <w:p w:rsidR="00713587" w:rsidRDefault="001B676B">
      <w:pPr>
        <w:numPr>
          <w:ilvl w:val="0"/>
          <w:numId w:val="2"/>
        </w:numPr>
        <w:spacing w:line="288" w:lineRule="auto"/>
        <w:ind w:left="851" w:right="172"/>
        <w:jc w:val="both"/>
        <w:rPr>
          <w:rFonts w:ascii="Arial" w:eastAsia="Arial" w:hAnsi="Arial" w:cs="Arial"/>
        </w:rPr>
      </w:pPr>
      <w:r>
        <w:rPr>
          <w:rFonts w:ascii="Arial" w:eastAsia="Arial" w:hAnsi="Arial" w:cs="Arial"/>
        </w:rPr>
        <w:t>La falta de adopción de las medidas necesarias para impedir o poner fin a la realización, en espacios abiertos al público, de actos de exaltación de la Guerra Civil o de la Dictadura que entrañen descrédito, menosprecio o humillación de las víctimas o de sus familiares por parte del titular o responsable del espacio donde se desarrollen dichos actos.</w:t>
      </w:r>
    </w:p>
    <w:p w:rsidR="00713587" w:rsidRDefault="001B676B">
      <w:pPr>
        <w:numPr>
          <w:ilvl w:val="0"/>
          <w:numId w:val="2"/>
        </w:numPr>
        <w:spacing w:line="288" w:lineRule="auto"/>
        <w:ind w:left="851" w:right="172"/>
        <w:jc w:val="both"/>
        <w:rPr>
          <w:rFonts w:ascii="Arial" w:eastAsia="Arial" w:hAnsi="Arial" w:cs="Arial"/>
        </w:rPr>
      </w:pPr>
      <w:r>
        <w:rPr>
          <w:rFonts w:ascii="Arial" w:eastAsia="Arial" w:hAnsi="Arial" w:cs="Arial"/>
        </w:rPr>
        <w:t xml:space="preserve">Las convocatorias de actos, campañas de divulgación o publicidad </w:t>
      </w:r>
      <w:proofErr w:type="gramStart"/>
      <w:r>
        <w:rPr>
          <w:rFonts w:ascii="Arial" w:eastAsia="Arial" w:hAnsi="Arial" w:cs="Arial"/>
        </w:rPr>
        <w:t>que</w:t>
      </w:r>
      <w:proofErr w:type="gramEnd"/>
      <w:r>
        <w:rPr>
          <w:rFonts w:ascii="Arial" w:eastAsia="Arial" w:hAnsi="Arial" w:cs="Arial"/>
        </w:rPr>
        <w:t xml:space="preserve"> por cualquier medio de comunicación pública, en forma escrita o verbal, en sus elementos sonoros o en sus imágenes sean contrarias a la normativa sobre memoria democrática, inciten a la exaltación de la Guerra </w:t>
      </w:r>
      <w:r>
        <w:rPr>
          <w:rFonts w:ascii="Arial" w:eastAsia="Arial" w:hAnsi="Arial" w:cs="Arial"/>
        </w:rPr>
        <w:lastRenderedPageBreak/>
        <w:t xml:space="preserve">Civil o de la Dictadura, cuando entrañe descrédito, menosprecio o humillación de las víctimas o de sus familiares. </w:t>
      </w:r>
    </w:p>
    <w:p w:rsidR="00713587" w:rsidRDefault="00713587">
      <w:pPr>
        <w:spacing w:line="288" w:lineRule="auto"/>
        <w:ind w:left="851"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Son infracciones graves:</w:t>
      </w:r>
    </w:p>
    <w:p w:rsidR="00713587" w:rsidRDefault="00713587">
      <w:pPr>
        <w:spacing w:line="288" w:lineRule="auto"/>
        <w:ind w:left="360" w:right="172"/>
        <w:jc w:val="both"/>
        <w:rPr>
          <w:rFonts w:ascii="Arial" w:eastAsia="Arial" w:hAnsi="Arial" w:cs="Arial"/>
        </w:rPr>
      </w:pPr>
    </w:p>
    <w:p w:rsidR="00713587" w:rsidRDefault="001B676B">
      <w:pPr>
        <w:numPr>
          <w:ilvl w:val="0"/>
          <w:numId w:val="3"/>
        </w:numPr>
        <w:spacing w:line="288" w:lineRule="auto"/>
        <w:ind w:left="851" w:right="172"/>
        <w:jc w:val="both"/>
        <w:rPr>
          <w:rFonts w:ascii="Arial" w:eastAsia="Arial" w:hAnsi="Arial" w:cs="Arial"/>
        </w:rPr>
      </w:pPr>
      <w:r>
        <w:rPr>
          <w:rFonts w:ascii="Arial" w:eastAsia="Arial" w:hAnsi="Arial" w:cs="Arial"/>
        </w:rPr>
        <w:t>La destrucción o menoscabo de lugares declarados como Lugar de Memoria Democrática, de elementos simbólicos en memoria u homenaje de las víctimas de la Dictadura franquista, así como la remoción o desaparición de vestigios erigidos en recuerdo y reconocimiento de hechos representativos de la memoria democrática y la lucha de la ciudadanía española por sus derechos y libertades en cualquier época, cuando no constituya infracción muy grave.</w:t>
      </w:r>
    </w:p>
    <w:p w:rsidR="00713587" w:rsidRDefault="001B676B">
      <w:pPr>
        <w:numPr>
          <w:ilvl w:val="0"/>
          <w:numId w:val="3"/>
        </w:numPr>
        <w:spacing w:line="288" w:lineRule="auto"/>
        <w:ind w:left="851" w:right="172"/>
        <w:jc w:val="both"/>
        <w:rPr>
          <w:rFonts w:ascii="Arial" w:eastAsia="Arial" w:hAnsi="Arial" w:cs="Arial"/>
        </w:rPr>
      </w:pPr>
      <w:r>
        <w:rPr>
          <w:rFonts w:ascii="Arial" w:eastAsia="Arial" w:hAnsi="Arial" w:cs="Arial"/>
        </w:rPr>
        <w:t>La realización de excavaciones para la localización o exhumación de restos sin haber obtenido la autorización administrativa correspondiente.</w:t>
      </w:r>
    </w:p>
    <w:p w:rsidR="00713587" w:rsidRDefault="001B676B">
      <w:pPr>
        <w:numPr>
          <w:ilvl w:val="0"/>
          <w:numId w:val="3"/>
        </w:numPr>
        <w:spacing w:line="288" w:lineRule="auto"/>
        <w:ind w:left="851" w:right="172"/>
        <w:jc w:val="both"/>
        <w:rPr>
          <w:rFonts w:ascii="Arial" w:eastAsia="Arial" w:hAnsi="Arial" w:cs="Arial"/>
        </w:rPr>
      </w:pPr>
      <w:r>
        <w:rPr>
          <w:rFonts w:ascii="Arial" w:eastAsia="Arial" w:hAnsi="Arial" w:cs="Arial"/>
        </w:rPr>
        <w:t>La falta de comunicación a las autoridades competentes de los hallazgos de restos de víctimas.</w:t>
      </w:r>
    </w:p>
    <w:p w:rsidR="00713587" w:rsidRDefault="001B676B">
      <w:pPr>
        <w:numPr>
          <w:ilvl w:val="0"/>
          <w:numId w:val="3"/>
        </w:numPr>
        <w:spacing w:line="288" w:lineRule="auto"/>
        <w:ind w:left="851" w:right="172"/>
        <w:jc w:val="both"/>
        <w:rPr>
          <w:rFonts w:ascii="Arial" w:eastAsia="Arial" w:hAnsi="Arial" w:cs="Arial"/>
        </w:rPr>
      </w:pPr>
      <w:r>
        <w:rPr>
          <w:rFonts w:ascii="Arial" w:eastAsia="Arial" w:hAnsi="Arial" w:cs="Arial"/>
        </w:rPr>
        <w:t xml:space="preserve">El incumplimiento de la resolución por la que se acuerde la retirada de simbología de exaltación de la dictadura franquista.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Son infracciones leves:</w:t>
      </w:r>
    </w:p>
    <w:p w:rsidR="00713587" w:rsidRDefault="00713587">
      <w:pPr>
        <w:spacing w:line="288" w:lineRule="auto"/>
        <w:ind w:left="360" w:right="172"/>
        <w:jc w:val="both"/>
        <w:rPr>
          <w:rFonts w:ascii="Arial" w:eastAsia="Arial" w:hAnsi="Arial" w:cs="Arial"/>
        </w:rPr>
      </w:pPr>
    </w:p>
    <w:p w:rsidR="00713587" w:rsidRDefault="001B676B">
      <w:pPr>
        <w:numPr>
          <w:ilvl w:val="0"/>
          <w:numId w:val="4"/>
        </w:numPr>
        <w:spacing w:line="288" w:lineRule="auto"/>
        <w:ind w:left="851" w:right="172" w:hanging="425"/>
        <w:jc w:val="both"/>
        <w:rPr>
          <w:rFonts w:ascii="Arial" w:eastAsia="Arial" w:hAnsi="Arial" w:cs="Arial"/>
        </w:rPr>
      </w:pPr>
      <w:r>
        <w:rPr>
          <w:rFonts w:ascii="Arial" w:eastAsia="Arial" w:hAnsi="Arial" w:cs="Arial"/>
        </w:rPr>
        <w:t>El deterioro de las placas identificativas de los lugares de memoria democrática, cuando no constituya infracción grave o muy grave.</w:t>
      </w:r>
    </w:p>
    <w:p w:rsidR="00713587" w:rsidRDefault="001B676B">
      <w:pPr>
        <w:numPr>
          <w:ilvl w:val="0"/>
          <w:numId w:val="4"/>
        </w:numPr>
        <w:spacing w:line="288" w:lineRule="auto"/>
        <w:ind w:left="851" w:right="172" w:hanging="425"/>
        <w:jc w:val="both"/>
        <w:rPr>
          <w:rFonts w:ascii="Arial" w:eastAsia="Arial" w:hAnsi="Arial" w:cs="Arial"/>
        </w:rPr>
      </w:pPr>
      <w:r>
        <w:rPr>
          <w:rFonts w:ascii="Arial" w:eastAsia="Arial" w:hAnsi="Arial" w:cs="Arial"/>
        </w:rPr>
        <w:t>La realización de cualquier obra o intervención en un Lugar de Memoria Democrática sin autorización o al margen de lo establecido en la misma, cuando no constituya infracción grave o muy grave.</w:t>
      </w:r>
    </w:p>
    <w:p w:rsidR="00713587" w:rsidRDefault="00713587">
      <w:pPr>
        <w:spacing w:line="288" w:lineRule="auto"/>
        <w:ind w:left="851" w:right="172"/>
        <w:jc w:val="both"/>
        <w:rPr>
          <w:rFonts w:ascii="Arial" w:eastAsia="Arial" w:hAnsi="Arial" w:cs="Arial"/>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63. Sanciones y medidas de restablecimiento de la legalidad.</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Las infracciones previstas en esta ley se sancionarán mediante la imposición de sanciones pecuniarias y, cuando proceda, de sanciones no pecuniarias.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Las infracciones tipificadas en esta ley se sancionarán con sanciones pecuniarias, que consistirán en multas de cuantías comprendidas entre los siguientes importes en función de la gravedad de la infracción, y respeto al principio de proporcionalidad:</w:t>
      </w:r>
    </w:p>
    <w:p w:rsidR="00713587" w:rsidRDefault="00713587">
      <w:pPr>
        <w:spacing w:line="288" w:lineRule="auto"/>
        <w:ind w:left="360" w:right="172"/>
        <w:jc w:val="both"/>
        <w:rPr>
          <w:rFonts w:ascii="Arial" w:eastAsia="Arial" w:hAnsi="Arial" w:cs="Arial"/>
        </w:rPr>
      </w:pPr>
    </w:p>
    <w:p w:rsidR="00713587" w:rsidRDefault="001B676B">
      <w:pPr>
        <w:numPr>
          <w:ilvl w:val="0"/>
          <w:numId w:val="5"/>
        </w:numPr>
        <w:spacing w:line="288" w:lineRule="auto"/>
        <w:ind w:left="851" w:right="172"/>
        <w:jc w:val="both"/>
        <w:rPr>
          <w:rFonts w:ascii="Arial" w:eastAsia="Arial" w:hAnsi="Arial" w:cs="Arial"/>
        </w:rPr>
      </w:pPr>
      <w:r>
        <w:rPr>
          <w:rFonts w:ascii="Arial" w:eastAsia="Arial" w:hAnsi="Arial" w:cs="Arial"/>
        </w:rPr>
        <w:t>Para infracciones muy graves: multa entre 10.001 a 150.000 euros.</w:t>
      </w:r>
    </w:p>
    <w:p w:rsidR="00713587" w:rsidRDefault="001B676B">
      <w:pPr>
        <w:numPr>
          <w:ilvl w:val="0"/>
          <w:numId w:val="5"/>
        </w:numPr>
        <w:spacing w:line="288" w:lineRule="auto"/>
        <w:ind w:left="851" w:right="172"/>
        <w:jc w:val="both"/>
        <w:rPr>
          <w:rFonts w:ascii="Arial" w:eastAsia="Arial" w:hAnsi="Arial" w:cs="Arial"/>
        </w:rPr>
      </w:pPr>
      <w:r>
        <w:rPr>
          <w:rFonts w:ascii="Arial" w:eastAsia="Arial" w:hAnsi="Arial" w:cs="Arial"/>
        </w:rPr>
        <w:t>Para infracciones graves: multa entre 2.001 a 10.000 euros.</w:t>
      </w:r>
    </w:p>
    <w:p w:rsidR="00713587" w:rsidRDefault="001B676B">
      <w:pPr>
        <w:numPr>
          <w:ilvl w:val="0"/>
          <w:numId w:val="5"/>
        </w:numPr>
        <w:spacing w:line="288" w:lineRule="auto"/>
        <w:ind w:left="851" w:right="172"/>
        <w:jc w:val="both"/>
        <w:rPr>
          <w:rFonts w:ascii="Arial" w:eastAsia="Arial" w:hAnsi="Arial" w:cs="Arial"/>
        </w:rPr>
      </w:pPr>
      <w:r>
        <w:rPr>
          <w:rFonts w:ascii="Arial" w:eastAsia="Arial" w:hAnsi="Arial" w:cs="Arial"/>
        </w:rPr>
        <w:lastRenderedPageBreak/>
        <w:t>Para infracciones leves: multa entre 200 y 2.000 euros.</w:t>
      </w:r>
    </w:p>
    <w:p w:rsidR="00713587" w:rsidRDefault="00713587">
      <w:pPr>
        <w:spacing w:line="288" w:lineRule="auto"/>
        <w:ind w:left="851"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En cada grado, para la individualización de la multa se tendrán en cuenta los siguientes criterios:</w:t>
      </w:r>
    </w:p>
    <w:p w:rsidR="00713587" w:rsidRDefault="00713587">
      <w:pPr>
        <w:spacing w:line="288" w:lineRule="auto"/>
        <w:ind w:left="360" w:right="172"/>
        <w:jc w:val="both"/>
        <w:rPr>
          <w:rFonts w:ascii="Arial" w:eastAsia="Arial" w:hAnsi="Arial" w:cs="Arial"/>
        </w:rPr>
      </w:pPr>
    </w:p>
    <w:p w:rsidR="00713587" w:rsidRDefault="001B676B">
      <w:pPr>
        <w:numPr>
          <w:ilvl w:val="0"/>
          <w:numId w:val="6"/>
        </w:numPr>
        <w:spacing w:line="288" w:lineRule="auto"/>
        <w:ind w:left="851" w:right="172"/>
        <w:jc w:val="both"/>
        <w:rPr>
          <w:rFonts w:ascii="Arial" w:eastAsia="Arial" w:hAnsi="Arial" w:cs="Arial"/>
        </w:rPr>
      </w:pPr>
      <w:r>
        <w:rPr>
          <w:rFonts w:ascii="Arial" w:eastAsia="Arial" w:hAnsi="Arial" w:cs="Arial"/>
        </w:rPr>
        <w:t>La trascendencia del perjuicio para la conservación y recuperación de la memoria democrática.</w:t>
      </w:r>
    </w:p>
    <w:p w:rsidR="00713587" w:rsidRDefault="001B676B">
      <w:pPr>
        <w:numPr>
          <w:ilvl w:val="0"/>
          <w:numId w:val="6"/>
        </w:numPr>
        <w:spacing w:line="288" w:lineRule="auto"/>
        <w:ind w:left="851" w:right="172"/>
        <w:jc w:val="both"/>
        <w:rPr>
          <w:rFonts w:ascii="Arial" w:eastAsia="Arial" w:hAnsi="Arial" w:cs="Arial"/>
        </w:rPr>
      </w:pPr>
      <w:r>
        <w:rPr>
          <w:rFonts w:ascii="Arial" w:eastAsia="Arial" w:hAnsi="Arial" w:cs="Arial"/>
        </w:rPr>
        <w:t>La cuantía del perjuicio causado.</w:t>
      </w:r>
    </w:p>
    <w:p w:rsidR="00713587" w:rsidRDefault="001B676B">
      <w:pPr>
        <w:numPr>
          <w:ilvl w:val="0"/>
          <w:numId w:val="6"/>
        </w:numPr>
        <w:spacing w:line="288" w:lineRule="auto"/>
        <w:ind w:left="851" w:right="172"/>
        <w:jc w:val="both"/>
        <w:rPr>
          <w:rFonts w:ascii="Arial" w:eastAsia="Arial" w:hAnsi="Arial" w:cs="Arial"/>
        </w:rPr>
      </w:pPr>
      <w:r>
        <w:rPr>
          <w:rFonts w:ascii="Arial" w:eastAsia="Arial" w:hAnsi="Arial" w:cs="Arial"/>
        </w:rPr>
        <w:t>El grado de culpabilidad.</w:t>
      </w:r>
    </w:p>
    <w:p w:rsidR="00713587" w:rsidRDefault="001B676B">
      <w:pPr>
        <w:numPr>
          <w:ilvl w:val="0"/>
          <w:numId w:val="6"/>
        </w:numPr>
        <w:spacing w:line="288" w:lineRule="auto"/>
        <w:ind w:left="851" w:right="172"/>
        <w:jc w:val="both"/>
        <w:rPr>
          <w:rFonts w:ascii="Arial" w:eastAsia="Arial" w:hAnsi="Arial" w:cs="Arial"/>
        </w:rPr>
      </w:pPr>
      <w:r>
        <w:rPr>
          <w:rFonts w:ascii="Arial" w:eastAsia="Arial" w:hAnsi="Arial" w:cs="Arial"/>
        </w:rPr>
        <w:t xml:space="preserve">La reincidencia. Existirá reincidencia por la comisión en el término de un año de más de una infracción de la misma naturaleza cuando así haya sido declarado por resolución administrativa firme. </w:t>
      </w:r>
    </w:p>
    <w:p w:rsidR="00713587" w:rsidRDefault="001B676B">
      <w:pPr>
        <w:numPr>
          <w:ilvl w:val="0"/>
          <w:numId w:val="6"/>
        </w:numPr>
        <w:spacing w:line="288" w:lineRule="auto"/>
        <w:ind w:left="851" w:right="172"/>
        <w:jc w:val="both"/>
        <w:rPr>
          <w:rFonts w:ascii="Arial" w:eastAsia="Arial" w:hAnsi="Arial" w:cs="Arial"/>
        </w:rPr>
      </w:pPr>
      <w:r>
        <w:rPr>
          <w:rFonts w:ascii="Arial" w:eastAsia="Arial" w:hAnsi="Arial" w:cs="Arial"/>
        </w:rPr>
        <w:t>La capacidad económica del infractor.</w:t>
      </w:r>
    </w:p>
    <w:p w:rsidR="00713587" w:rsidRDefault="00713587">
      <w:pPr>
        <w:spacing w:line="288" w:lineRule="auto"/>
        <w:ind w:left="851"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4. En la resolución sancionadora podrá acordarse motivadamente la imposición, junto a la sanción económica, de alguna o algunas de las siguientes sanciones accesorias, atendiendo a la naturaleza de los hechos constitutivos de la infracción: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a) El cierre temporal, por un período de seis meses y un día a dos años, de los locales o establecimientos públicos donde se realicen actos de exaltación, enaltecimiento o conmemoración del golpe militar de 1936, de las violaciones de derechos humanos cometidas durante la Guerra Civil, de la Dictadura o de sus dirigentes.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b) El comiso de los bienes, medios o instrumentos con los que se haya preparado o ejecutado la infracción, salvo que unos u otros pertenezcan a un tercero de buena fe no responsable de dicha infracción que los haya adquirido legalmente.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c) La pérdida durante un plazo de hasta cinco años de la posibilidad de obtener subvenciones y ayudas públicas de las administraciones públicas en materia de memoria democrática, así como el reintegro total o parcial de las subvenciones obtenidas, durante los cinco años anteriores, en esa misma materia.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5. Asimismo, cuando proceda, podrá imponerse motivadamente al infractor la restauración de la realidad física alterada. </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lastRenderedPageBreak/>
        <w:t>Artículo 64. Procedimiento.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1. Cualquier persona podrá denunciar las infracciones previstas en esta ley.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2. Las autoridades que tengan conocimiento de actuaciones que puedan constituir infracción con arreglo a lo previsto en esta ley estarán obligadas a comunicarlo al órgano competente para instruir el procedimiento sancionador.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3. La incoación del procedimiento se realizará por acuerdo de la persona titular del órgano competente en materia de memoria democrática de oficio, bien por propia iniciativa, o como consecuencia de orden superior, petición razonada de otros órganos o denuncia de la ciudadanía.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4. Para la imposición de las sanciones establecidas en este título se seguirán las disposiciones de procedimiento previstas en la Ley 39/2015, de 1 de octubre, del Procedimiento Administrativo Común de las Administraciones Públicas.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65. Competencia sancionadora.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Son competentes para la incoación y resolución de los expedientes sancionadores por las infracciones tipificadas en esta ley:</w:t>
      </w:r>
    </w:p>
    <w:p w:rsidR="00713587" w:rsidRDefault="00713587">
      <w:pPr>
        <w:spacing w:line="288" w:lineRule="auto"/>
        <w:ind w:left="360" w:right="172"/>
        <w:jc w:val="both"/>
        <w:rPr>
          <w:rFonts w:ascii="Arial" w:eastAsia="Arial" w:hAnsi="Arial" w:cs="Arial"/>
        </w:rPr>
      </w:pPr>
    </w:p>
    <w:p w:rsidR="00713587" w:rsidRDefault="001B676B">
      <w:pPr>
        <w:numPr>
          <w:ilvl w:val="0"/>
          <w:numId w:val="1"/>
        </w:numPr>
        <w:spacing w:line="288" w:lineRule="auto"/>
        <w:ind w:right="172"/>
        <w:jc w:val="both"/>
        <w:rPr>
          <w:rFonts w:ascii="Arial" w:eastAsia="Arial" w:hAnsi="Arial" w:cs="Arial"/>
        </w:rPr>
      </w:pPr>
      <w:r>
        <w:rPr>
          <w:rFonts w:ascii="Arial" w:eastAsia="Arial" w:hAnsi="Arial" w:cs="Arial"/>
        </w:rPr>
        <w:t>Tratándose de infracciones muy graves, la persona titular de la Secretaría de Estado competente en materia de memoria democrática</w:t>
      </w:r>
    </w:p>
    <w:p w:rsidR="00713587" w:rsidRDefault="001B676B">
      <w:pPr>
        <w:numPr>
          <w:ilvl w:val="0"/>
          <w:numId w:val="1"/>
        </w:numPr>
        <w:spacing w:line="288" w:lineRule="auto"/>
        <w:ind w:right="172"/>
        <w:jc w:val="both"/>
        <w:rPr>
          <w:rFonts w:ascii="Arial" w:eastAsia="Arial" w:hAnsi="Arial" w:cs="Arial"/>
        </w:rPr>
      </w:pPr>
      <w:r>
        <w:rPr>
          <w:rFonts w:ascii="Arial" w:eastAsia="Arial" w:hAnsi="Arial" w:cs="Arial"/>
        </w:rPr>
        <w:t>Tratándose de infracciones graves y leves, la persona titular de la Dirección General competente en materia de memoria democrática”.</w:t>
      </w:r>
    </w:p>
    <w:p w:rsidR="00713587" w:rsidRDefault="00713587">
      <w:pPr>
        <w:spacing w:line="288" w:lineRule="auto"/>
        <w:ind w:left="720" w:right="172"/>
        <w:jc w:val="both"/>
        <w:rPr>
          <w:rFonts w:ascii="Arial" w:eastAsia="Arial" w:hAnsi="Arial" w:cs="Arial"/>
        </w:rPr>
      </w:pPr>
    </w:p>
    <w:p w:rsidR="00713587" w:rsidRDefault="001B676B">
      <w:pPr>
        <w:spacing w:line="288" w:lineRule="auto"/>
        <w:ind w:left="360" w:right="172"/>
        <w:jc w:val="both"/>
        <w:rPr>
          <w:rFonts w:ascii="Arial" w:eastAsia="Arial" w:hAnsi="Arial" w:cs="Arial"/>
          <w:b/>
        </w:rPr>
      </w:pPr>
      <w:r>
        <w:rPr>
          <w:rFonts w:ascii="Arial" w:eastAsia="Arial" w:hAnsi="Arial" w:cs="Arial"/>
          <w:b/>
        </w:rPr>
        <w:t>Artículo 66. Prescripción de infracciones y sanciones.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1. Las infracciones administrativas previstas en la presente ley prescribirán en el plazo de tres años, las muy graves, en el de dos años, las graves y en el de seis meses las leves.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Las sanciones impuestas por la comisión de infracciones muy graves prescribirán a los tres años, las impuestas por graves a los dos años y las impuestas por leves lo harán al año.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3. Para el cómputo de los plazos de prescripción de infracciones y sanciones se estará a lo dispuesto en el artículo 30 de la Ley 40/2015, de 1 de octubre, de Régimen Jurídico del Sector Público.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En los supuestos de infracciones continuadas el plazo de prescripción comenzará a contar desde el momento de la finalización de la actividad o del último acto con el que la infracción se consuma. En el caso de que los hechos o actividades constitutivos de infracción fueran desconocidos por carecer de signos externos, dicho plazo se computará desde que éstos se manifiesten.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b/>
        </w:rPr>
      </w:pPr>
      <w:r>
        <w:rPr>
          <w:rFonts w:ascii="Arial" w:eastAsia="Arial" w:hAnsi="Arial" w:cs="Arial"/>
          <w:b/>
        </w:rPr>
        <w:t>Disposición adicional primera. Acción pública y compatibilidad de acciones.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1. Será pública la acción para exigir ante los órganos administrativos y los tribunales contencioso-administrativos la estricta observancia de las obligaciones recogidas en la presente ley.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Las previsiones contenidas en la presente ley son compatibles con el ejercicio de las acciones y el acceso a los procedimientos judiciales establecidos en las leyes o en los tratados y convenios internacionales suscritos por España.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 xml:space="preserve">Disposición adicional segunda. Procedimiento para el cumplimiento de lo dispuesto en el 55.4 de esta Ley.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1. Corresponde al Gobierno garantizar el cumplimiento de lo establecido en el artículo </w:t>
      </w:r>
      <w:proofErr w:type="gramStart"/>
      <w:r>
        <w:rPr>
          <w:rFonts w:ascii="Arial" w:eastAsia="Arial" w:hAnsi="Arial" w:cs="Arial"/>
        </w:rPr>
        <w:t>55.4  de</w:t>
      </w:r>
      <w:proofErr w:type="gramEnd"/>
      <w:r>
        <w:rPr>
          <w:rFonts w:ascii="Arial" w:eastAsia="Arial" w:hAnsi="Arial" w:cs="Arial"/>
        </w:rPr>
        <w:t xml:space="preserve"> esta Ley, asegurando en todo caso unas condiciones adecuadas de dignidad y respeto. A tal efecto, se declara de urgente y excepcional interés público, así como de utilidad pública e interés social, la exhumación y el traslado de los restos mortales distintos de los mencionados en dicho artículo.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La decisión de exhumación y traslado será adoptada por acuerdo de Consejo de Ministros, tras la tramitación del procedimiento regulado en los apartados siguientes.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3. El procedimiento se iniciará de oficio por el Consejo de Ministros mediante acuerdo de incoación, que designará órgano instructor. Dicho acuerdo dará un plazo de quince días a los interesados a fin de que se personen en el </w:t>
      </w:r>
      <w:r>
        <w:rPr>
          <w:rFonts w:ascii="Arial" w:eastAsia="Arial" w:hAnsi="Arial" w:cs="Arial"/>
        </w:rPr>
        <w:lastRenderedPageBreak/>
        <w:t xml:space="preserve">procedimiento y aleguen lo que a sus derechos o intereses legítimos pudiese convenir. Los familiares podrán disponer en dicho plazo sobre el destino de los restos mortales indicando, en su caso, el lugar de </w:t>
      </w:r>
      <w:proofErr w:type="spellStart"/>
      <w:r>
        <w:rPr>
          <w:rFonts w:ascii="Arial" w:eastAsia="Arial" w:hAnsi="Arial" w:cs="Arial"/>
        </w:rPr>
        <w:t>reinhumación</w:t>
      </w:r>
      <w:proofErr w:type="spellEnd"/>
      <w:r>
        <w:rPr>
          <w:rFonts w:ascii="Arial" w:eastAsia="Arial" w:hAnsi="Arial" w:cs="Arial"/>
        </w:rPr>
        <w:t xml:space="preserve">, debiendo aportar en ese plazo los documentos y autorizaciones necesarias. En caso de discrepancia entre los familiares, o si estos no manifestasen su voluntad en tiempo y forma, el Consejo de Ministros decidirá sobre el lugar de </w:t>
      </w:r>
      <w:proofErr w:type="spellStart"/>
      <w:r>
        <w:rPr>
          <w:rFonts w:ascii="Arial" w:eastAsia="Arial" w:hAnsi="Arial" w:cs="Arial"/>
        </w:rPr>
        <w:t>reinhumación</w:t>
      </w:r>
      <w:proofErr w:type="spellEnd"/>
      <w:r>
        <w:rPr>
          <w:rFonts w:ascii="Arial" w:eastAsia="Arial" w:hAnsi="Arial" w:cs="Arial"/>
        </w:rPr>
        <w:t>, asegurando una digna sepultura. A estos efectos, queda legitimado para solicitar la asignación del correspondiente título de derecho funerario y para realizar el resto de actuaciones que procedan.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4. Transcurrido el plazo contemplado en el apartado anterior, el Consejo de Ministros ordenará la continuación del procedimiento. A tal efecto, ordenará al titular del Ministerio competente en materia memoria democrática que remita al Ayuntamiento, en su caso, el proyecto necesario para llevar a cabo la exhumación, para su tramitación con arreglo a lo previsto en la disposición adicional décima del texto refundido de la Ley de Suelo y Rehabilitación Urbana, aprobado por el Real Decreto Legislativo 7/2015, de 30 de octubre. Asimismo, le ordenará que solicite informe no vinculante al órgano de la Comunidad Autónoma competente en materia de sanidad mortuoria, que deberá ser emitido en el plazo máximo de un mes.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5. Concluidas las actuaciones previstas en los apartados anteriores, se dará traslado a los interesados antes de la resolución para que, en el plazo improrrogable de diez días, aleguen lo que estimen oportuno sobre las mismas.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6. Transcurrido dicho plazo, el Consejo de Ministros, mediante acuerdo motivado, resolverá sobre si procede la exhumación y el traslado, con indicación, en su caso, del destino que haya de darse a los restos mortales afectados.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7. El plazo de caducidad del procedimiento contemplado en esta disposición adicional será de doce meses a contar desde el acuerdo de incoación.</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Disposición adicional tercera. Retirada de recompensas previstas en la Ley 5/1964, de 29 de abril, sobre Condecoraciones Policiales, y de la Ley 19/1976, de 29 de mayo, sobre creación de la Orden del Mérito del Cuerpo de la Guardia Civil.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1. El Consejo de Ministros o, en su caso, el Ministro del Interior podrán revisar o revocar las recompensas concedidas para premiar los hechos o servicios meritorios realizados o prestados tanto por personas físicas como por personas jurídicas al amparo de la Ley 5/1964, de 29 de abril, sobre condecoraciones policiales, y de la Ley 19/1976, de 29 de mayo, sobre creación de la Orden del Mérito del Cuerpo de la Guardia Civil.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Las resoluciones de concesión serán revisables de oficio cuando incurran en cualquiera de las causas de nulidad de pleno derecho o anulabilidad previstas en los artículos 47.1 y 48.1 de la Ley 39/2015, de 1 de octubre, del Procedimiento Administrativo Común de las Administraciones Públicas. El procedimiento para la declaración de nulidad, o para la declaración de lesividad a efectos de su posterior impugnación ante el orden jurisdiccional contencioso-administrativo será, respectivamente, el regulado en los artículos 106 y 107 de la mencionada ley.</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Asimismo, las resoluciones de concesión podrán revocarse cuando, con posterioridad a las mismas, dejen de concurrir en la persona o entidad las circunstancias personales o profesionales que en su momento fueron determinantes de la concesión de la recompensa.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La revisión o revocación de las recompensas concedidas exigirá la tramitación de un procedimiento contradictorio que sólo podrá iniciarse de oficio y a iniciativa del Ministerio del Interior, y se instruirá y resolverá por los órganos competentes para tramitar los procedimientos de concesión.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La declaración de nulidad, la anulación y la revocación de las resoluciones por las que se concedieron las recompensas determinará la pérdida de los derechos anejos correspondientes, incluso los económicos, y producirá efectos a partir de la notificación de la resolución la declare.</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2. Las recompensas concedidas con anterioridad a la entrada en vigor de esta ley al amparo de la Ley 5/1964, de 29 de abril, sobre condecoraciones policiales, y de la Ley 19/1976, de 29 de mayo, sobre creación de la Orden del Mérito del Cuerpo de la Guardia Civil, podrán revocarse cuando quede acreditado que el beneficiario, antes de la concesión, había realizado actos u observado conductas manifiestamente incompatibles con el ingreso en la Orden del Mérito Policial o en la Orden del Mérito de la Guardia Civil, así como cuando, con posterioridad al ingreso en dichas órdenes, hubiese realizado </w:t>
      </w:r>
      <w:r>
        <w:rPr>
          <w:rFonts w:ascii="Arial" w:eastAsia="Arial" w:hAnsi="Arial" w:cs="Arial"/>
        </w:rPr>
        <w:lastRenderedPageBreak/>
        <w:t>actos u observado conductas manifiestamente incompatibles con su permanencia en ellas.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Los actos o conductas manifiestamente incompatibles con el ingreso o la permanencia en las mencionadas órdenes podrán resultar de sentencia penal firme, de diligencias judiciales, de la Fiscalía o policiales, de la imposición de sanción disciplinaria firme o de cualquier otro medio de prueba admisible en derecho.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La revocación de las recompensas concedidas antes de la entrada en vigor de esta ley exigirá la tramitación de un procedimiento contradictorio que sólo podrá iniciarse de oficio y a iniciativa del Ministerio del Interior, y se instruirá y resolverá por los órganos competentes para tramitar los procedimientos de concesión.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La revocación determinará pérdida de los derechos anejos correspondientes, incluso los económicos, y producirá efectos a partir de la notificación de la resolución que la declare.</w:t>
      </w:r>
    </w:p>
    <w:p w:rsidR="00713587" w:rsidRDefault="00713587">
      <w:pPr>
        <w:spacing w:line="288" w:lineRule="auto"/>
        <w:ind w:left="360" w:right="172"/>
        <w:jc w:val="both"/>
        <w:rPr>
          <w:rFonts w:ascii="Arial" w:eastAsia="Arial" w:hAnsi="Arial" w:cs="Arial"/>
          <w:b/>
        </w:rPr>
      </w:pPr>
      <w:bookmarkStart w:id="18" w:name="_2jxsxqh" w:colFirst="0" w:colLast="0"/>
      <w:bookmarkEnd w:id="18"/>
    </w:p>
    <w:p w:rsidR="00713587" w:rsidRDefault="001B676B">
      <w:pPr>
        <w:spacing w:line="288" w:lineRule="auto"/>
        <w:ind w:left="360" w:right="172"/>
        <w:jc w:val="both"/>
        <w:rPr>
          <w:rFonts w:ascii="Arial" w:eastAsia="Arial" w:hAnsi="Arial" w:cs="Arial"/>
          <w:b/>
        </w:rPr>
      </w:pPr>
      <w:r>
        <w:rPr>
          <w:rFonts w:ascii="Arial" w:eastAsia="Arial" w:hAnsi="Arial" w:cs="Arial"/>
          <w:b/>
        </w:rPr>
        <w:t>Disposición adicional cuarta. Acceso a la consulta de los libros de actas de defunciones de los Registros Civiles.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El Gobierno, a través del Ministerio de Justicia, en cuanto sea preciso para dar cumplimiento a las previsiones de esta ley, dictará las disposiciones necesarias para facilitar el acceso a la consulta de los libros de las actas de defunciones de los Registros Civiles.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Disposición adicional quinta. Extinción de fundaciones.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rPr>
        <w:t>Al amparo de lo dispuesto en el artículo 31.f) de la Ley 50/2002, de 26 de diciembre, de Fundaciones, concurrirá causa de extinción cuando las fundaciones no persigan fines de interés general o realicen actividades contrarias al mismo. A estos efectos, se considera contrario al interés general la apología del franquismo o la incitación directa o indirecta al odio o violencia contra las víctimas del Golpe de Estado, de la guerra civil española o del franquismo, por su condición de tales.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Corresponderá al Protectorado instar judicialmente la extinción de la fundación por concurrencia de esta causa, pudiendo en tal caso el órgano judicial, de </w:t>
      </w:r>
      <w:r>
        <w:rPr>
          <w:rFonts w:ascii="Arial" w:eastAsia="Arial" w:hAnsi="Arial" w:cs="Arial"/>
        </w:rPr>
        <w:lastRenderedPageBreak/>
        <w:t>oficio o a instancia de parte, acordar la suspensión provisional de las actividades de la fundación hasta que se dicte sentencia, así como adoptar las medidas cautelares que se consideren necesarias para la eficacia de la suspensión de actividades.</w:t>
      </w:r>
    </w:p>
    <w:p w:rsidR="00713587" w:rsidRDefault="00713587">
      <w:pPr>
        <w:spacing w:line="288" w:lineRule="auto"/>
        <w:ind w:left="360" w:right="172"/>
        <w:jc w:val="both"/>
        <w:rPr>
          <w:rFonts w:ascii="Arial" w:eastAsia="Arial" w:hAnsi="Arial" w:cs="Arial"/>
        </w:rPr>
      </w:pPr>
    </w:p>
    <w:p w:rsidR="00713587" w:rsidRDefault="00713587">
      <w:pPr>
        <w:spacing w:line="288" w:lineRule="auto"/>
        <w:ind w:right="172"/>
        <w:jc w:val="both"/>
        <w:rPr>
          <w:rFonts w:ascii="Arial" w:eastAsia="Arial" w:hAnsi="Arial" w:cs="Arial"/>
          <w:strike/>
        </w:rPr>
      </w:pPr>
    </w:p>
    <w:p w:rsidR="00713587" w:rsidRDefault="001B676B">
      <w:pPr>
        <w:spacing w:line="288" w:lineRule="auto"/>
        <w:ind w:left="360" w:right="172"/>
        <w:jc w:val="both"/>
        <w:rPr>
          <w:rFonts w:ascii="Arial" w:eastAsia="Arial" w:hAnsi="Arial" w:cs="Arial"/>
          <w:b/>
        </w:rPr>
      </w:pPr>
      <w:r>
        <w:rPr>
          <w:rFonts w:ascii="Arial" w:eastAsia="Arial" w:hAnsi="Arial" w:cs="Arial"/>
          <w:b/>
        </w:rPr>
        <w:t>Disposición adicional sexta. Declaración de utilidad pública de asociaciones.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A los efectos del </w:t>
      </w:r>
      <w:proofErr w:type="gramStart"/>
      <w:r>
        <w:rPr>
          <w:rFonts w:ascii="Arial" w:eastAsia="Arial" w:hAnsi="Arial" w:cs="Arial"/>
        </w:rPr>
        <w:t>artículo  32.1</w:t>
      </w:r>
      <w:proofErr w:type="gramEnd"/>
      <w:r>
        <w:rPr>
          <w:rFonts w:ascii="Arial" w:eastAsia="Arial" w:hAnsi="Arial" w:cs="Arial"/>
        </w:rPr>
        <w:t xml:space="preserve"> a) de la Ley Orgánica 1/2002, de 22 de marzo, reguladora del Derecho de Asociación, se considera que no responden a la promoción de fines de interés general aquellas asociaciones que entre sus fines persigan o que con sus actividades lleven a cabo la apología del franquismo o la incitación directa o indirecta al odio o violencia contra las víctimas del golpe de Estado, de la guerra civil española o del franquismo, por su condición de tales. A estos efectos, las administraciones públicas competentes procederán a revocar la declaración de utilidad pública de aquellas asociaciones en que concurriera esta circunstancia, de conformidad con lo dispuesto en las disposiciones legales y reglamentarias correspondientes.</w:t>
      </w:r>
    </w:p>
    <w:p w:rsidR="00713587" w:rsidRDefault="00713587">
      <w:pPr>
        <w:spacing w:line="288" w:lineRule="auto"/>
        <w:ind w:left="360" w:right="172"/>
        <w:jc w:val="both"/>
        <w:rPr>
          <w:rFonts w:ascii="Arial" w:eastAsia="Arial" w:hAnsi="Arial" w:cs="Arial"/>
        </w:rPr>
      </w:pP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b/>
        </w:rPr>
      </w:pPr>
      <w:r>
        <w:rPr>
          <w:rFonts w:ascii="Arial" w:eastAsia="Arial" w:hAnsi="Arial" w:cs="Arial"/>
          <w:b/>
        </w:rPr>
        <w:t>Disposición adicional séptima. Adquisición de la nacionalidad española.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rPr>
        <w:t>Los nacidos fuera de España de padre o madre, abuelo o abuela, que originariamente hubieran sido españoles, y que, como consecuencia de haber sufrido exilio por razones políticas, ideológicas o de creencia, renunciaran a la nacionalidad española, podrán optar a la nacionalidad española, a los efectos del artículo 20 del Código Civil. Esta declaración deberá formalizarse en el plazo de dos años desde la entrada en vigor de la presente ley.</w:t>
      </w:r>
    </w:p>
    <w:p w:rsidR="00713587" w:rsidRDefault="00713587">
      <w:pPr>
        <w:spacing w:line="288" w:lineRule="auto"/>
        <w:ind w:left="360" w:right="172"/>
        <w:jc w:val="both"/>
        <w:rPr>
          <w:rFonts w:ascii="Arial" w:eastAsia="Arial" w:hAnsi="Arial" w:cs="Arial"/>
        </w:rPr>
      </w:pPr>
    </w:p>
    <w:p w:rsidR="00713587" w:rsidRDefault="00713587">
      <w:pPr>
        <w:spacing w:line="288" w:lineRule="auto"/>
        <w:ind w:right="172"/>
        <w:jc w:val="both"/>
        <w:rPr>
          <w:rFonts w:ascii="Arial" w:eastAsia="Arial" w:hAnsi="Arial" w:cs="Arial"/>
        </w:rPr>
      </w:pPr>
    </w:p>
    <w:p w:rsidR="00713587" w:rsidRDefault="001B676B">
      <w:pPr>
        <w:spacing w:line="288" w:lineRule="auto"/>
        <w:ind w:left="360" w:right="172"/>
        <w:jc w:val="both"/>
        <w:rPr>
          <w:rFonts w:ascii="Arial" w:eastAsia="Arial" w:hAnsi="Arial" w:cs="Arial"/>
          <w:b/>
        </w:rPr>
      </w:pPr>
      <w:r>
        <w:rPr>
          <w:rFonts w:ascii="Arial" w:eastAsia="Arial" w:hAnsi="Arial" w:cs="Arial"/>
          <w:b/>
        </w:rPr>
        <w:t>Disposición adicional octava. Bienes y derechos obtenidos en el extranjero por el Estado español.</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rPr>
        <w:t>1. Las disposiciones previstas en la Ley 43/1998, de 15 de diciembre,</w:t>
      </w:r>
      <w:r>
        <w:t xml:space="preserve"> </w:t>
      </w:r>
      <w:r>
        <w:rPr>
          <w:rFonts w:ascii="Arial" w:eastAsia="Arial" w:hAnsi="Arial" w:cs="Arial"/>
        </w:rPr>
        <w:t xml:space="preserve">de Restitución o Compensación a los Partidos Políticos de Bienes y Derechos Incautados en aplicación de la normativa sobre responsabilidades políticas del período 1936-1939, serán de aplicación a los bienes y derechos obtenidos en </w:t>
      </w:r>
      <w:r>
        <w:rPr>
          <w:rFonts w:ascii="Arial" w:eastAsia="Arial" w:hAnsi="Arial" w:cs="Arial"/>
        </w:rPr>
        <w:lastRenderedPageBreak/>
        <w:t xml:space="preserve">el extranjero en ejecución del Acuerdo Internacional signado entre el Estado Español y la República de Francia, el 25 de febrero de 1939, (Acuerdo </w:t>
      </w:r>
      <w:proofErr w:type="spellStart"/>
      <w:r>
        <w:rPr>
          <w:rFonts w:ascii="Arial" w:eastAsia="Arial" w:hAnsi="Arial" w:cs="Arial"/>
        </w:rPr>
        <w:t>Bérard</w:t>
      </w:r>
      <w:proofErr w:type="spellEnd"/>
      <w:r>
        <w:rPr>
          <w:rFonts w:ascii="Arial" w:eastAsia="Arial" w:hAnsi="Arial" w:cs="Arial"/>
        </w:rPr>
        <w:t>-Jordana), la Ley de 30 de enero de 1940 y el Decreto de 6 de mayo de 1940; aun cuando el título de propiedad al Estado Español hubiera venido a ser atribuido por resoluciones administrativas o judiciales de estados extranjeros, si estas lo hubiesen sido con ausencia de principios de audiencia, defensa o contravención reconocibles en un estado democrático de derecho.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Además de los beneficiarios previstos en el artículo 3 de la Ley 43/1998, de 15 de diciembre, lo serán también los partidos políticos respecto a los bienes inmuebles y derechos de contenido patrimonial o económico que hubiesen pertenecido a personas físicas o jurídicas vinculadas a dichos partidos políticos con carácter fiduciario o bajo cualquier forma de cobertura jurídica anclada en negocios o pactos de interposición personal.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3. En el caso de estos bienes inmuebles, se abre un plazo de un año para el ejercicio de derechos y acciones de reclamación que comenzará a partir del día siguiente a la entrada en vigor de la presente ley, según el procedimiento de tramitación </w:t>
      </w:r>
      <w:proofErr w:type="gramStart"/>
      <w:r>
        <w:rPr>
          <w:rFonts w:ascii="Arial" w:eastAsia="Arial" w:hAnsi="Arial" w:cs="Arial"/>
        </w:rPr>
        <w:t>y  resolución</w:t>
      </w:r>
      <w:proofErr w:type="gramEnd"/>
      <w:r>
        <w:rPr>
          <w:rFonts w:ascii="Arial" w:eastAsia="Arial" w:hAnsi="Arial" w:cs="Arial"/>
        </w:rPr>
        <w:t xml:space="preserve"> previsto por el artículo 6 de la Ley 43/1998, de 15 de diciembre.</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b/>
        </w:rPr>
      </w:pPr>
      <w:r>
        <w:rPr>
          <w:rFonts w:ascii="Arial" w:eastAsia="Arial" w:hAnsi="Arial" w:cs="Arial"/>
          <w:b/>
        </w:rPr>
        <w:t>Disposición transitoria única. Fundación de la Santa Cruz del Valle los Caídos.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rPr>
        <w:t>Hasta la aprobación del real decreto contemplado en el artículo 55, el Consejo de Administración del Patrimonio Nacional continuará ejerciendo las funciones de patronato y representación de la Fundación de la Santa Cruz del Valle los Caídos, rigiéndose para ello transitoriamente por la Ley 50/2002, de 26 de diciembre, de Fundaciones, y por el Real Decreto 1337/2005, de 11 de noviembre, por el que se aprueba el Reglamento de fundaciones de competencia estatal.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Dichas funciones se orientarán, además de a la conservación y mantenimiento de la finca y de los edificios e instalaciones, a la preparación de la liquidación de la actual fundación al objeto de determinar los inventarios, presupuesto y cuentas de la misma, considerando de forma integral la totalidad de la gestión económica de las actividades desarrolladas en el Valle de los Caídos por la fundación o por su administrador delegado. A estos efectos, el Consejo de Administración del Patrimonio Nacional contará con la colaboración de los </w:t>
      </w:r>
      <w:r>
        <w:rPr>
          <w:rFonts w:ascii="Arial" w:eastAsia="Arial" w:hAnsi="Arial" w:cs="Arial"/>
        </w:rPr>
        <w:lastRenderedPageBreak/>
        <w:t xml:space="preserve">órganos de la Administración General del Estado competentes por razón de la materia.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b/>
        </w:rPr>
      </w:pPr>
      <w:r>
        <w:rPr>
          <w:rFonts w:ascii="Arial" w:eastAsia="Arial" w:hAnsi="Arial" w:cs="Arial"/>
          <w:b/>
        </w:rPr>
        <w:t xml:space="preserve">Disposición derogatoria única. Derogación normativa. </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rPr>
        <w:t>1. Quedan derogadas todas las normas de igual o inferior rango en lo que contradigan o se opongan a lo dispuesto en la presente ley.</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2. Quedan derogadas expresamente las siguientes disposiciones:</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 xml:space="preserve">a) Ley 52/2007, de 26 de diciembre, por la que se reconocen y amplían derechos y se establecen medidas en favor de quienes padecieron persecución o violencia durante la guerra civil y la dictadura. </w:t>
      </w:r>
    </w:p>
    <w:p w:rsidR="00713587" w:rsidRDefault="001B676B">
      <w:pPr>
        <w:spacing w:line="288" w:lineRule="auto"/>
        <w:ind w:left="360" w:right="172"/>
        <w:jc w:val="both"/>
        <w:rPr>
          <w:rFonts w:ascii="Arial" w:eastAsia="Arial" w:hAnsi="Arial" w:cs="Arial"/>
        </w:rPr>
      </w:pPr>
      <w:r>
        <w:rPr>
          <w:rFonts w:ascii="Arial" w:eastAsia="Arial" w:hAnsi="Arial" w:cs="Arial"/>
        </w:rPr>
        <w:t xml:space="preserve">b) Las disposiciones adicionales trigésima tercera y trigésima sexta de la Ley 17/2012, de 27 de diciembre, de Presupuestos Generales del Estado para el año 2013. </w:t>
      </w:r>
    </w:p>
    <w:p w:rsidR="00713587" w:rsidRDefault="001B676B">
      <w:pPr>
        <w:spacing w:line="288" w:lineRule="auto"/>
        <w:ind w:left="360" w:right="172"/>
        <w:jc w:val="both"/>
        <w:rPr>
          <w:rFonts w:ascii="Arial" w:eastAsia="Arial" w:hAnsi="Arial" w:cs="Arial"/>
        </w:rPr>
      </w:pPr>
      <w:r>
        <w:rPr>
          <w:rFonts w:ascii="Arial" w:eastAsia="Arial" w:hAnsi="Arial" w:cs="Arial"/>
        </w:rPr>
        <w:t>c) Sin perjuicio de lo establecido en la disposición transitoria única, quedan derogados el Decreto de 1 de abril de 1940, el Decreto-Ley de 23 de agosto de 1957 por el que se establece la Fundación de la Santa Cruz del Valle de los Caídos, la disposición final tercera de la Ley 23/1982, de 16 de junio, reguladora del Patrimonio Nacional, y el artículo 58 de su Reglamento, aprobado por Real Decreto 496/1987, de 18 de marzo, que asignan al Consejo de Administración del Patrimonio Nacional las funciones de patronato y representación de la fundación creada por el Decreto-ley de 23 de agosto de 1957.</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b/>
        </w:rPr>
      </w:pPr>
      <w:r>
        <w:rPr>
          <w:rFonts w:ascii="Arial" w:eastAsia="Arial" w:hAnsi="Arial" w:cs="Arial"/>
          <w:b/>
        </w:rPr>
        <w:t>Disposición final primera.</w:t>
      </w:r>
      <w:r>
        <w:rPr>
          <w:rFonts w:ascii="Arial" w:eastAsia="Arial" w:hAnsi="Arial" w:cs="Arial"/>
        </w:rPr>
        <w:t xml:space="preserve"> </w:t>
      </w:r>
      <w:r>
        <w:rPr>
          <w:rFonts w:ascii="Arial" w:eastAsia="Arial" w:hAnsi="Arial" w:cs="Arial"/>
          <w:b/>
        </w:rPr>
        <w:t>Modificación de la Ley 50/1981, de 30 de diciembre, por la que se regula el Estatuto Orgánico del Ministerio Fiscal.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Se añade un apartado Cuarto al artículo 20 de la Ley 50/1981, de 30 de diciembre, por la que se regula el Estatuto Orgánico del Ministerio Fiscal, con la siguiente redacción:</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«Cuarto. En la Fiscalía General del Estado existirá un Fiscal responsable de la coordinación y supervisión de la actividad del Ministerio Fiscal en materia de memoria democrática y derechos humanos, con la categoría del Fiscal de Sala, que ejercerá las siguientes funciones:</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lastRenderedPageBreak/>
        <w:t xml:space="preserve">a) Coordinar la acción del Ministerio Fiscal en todos los procedimientos y actuaciones a que se refiere la Ley xx/xxx, de xx de </w:t>
      </w:r>
      <w:proofErr w:type="spellStart"/>
      <w:r>
        <w:rPr>
          <w:rFonts w:ascii="Arial" w:eastAsia="Arial" w:hAnsi="Arial" w:cs="Arial"/>
        </w:rPr>
        <w:t>xxxx</w:t>
      </w:r>
      <w:proofErr w:type="spellEnd"/>
      <w:r>
        <w:rPr>
          <w:rFonts w:ascii="Arial" w:eastAsia="Arial" w:hAnsi="Arial" w:cs="Arial"/>
        </w:rPr>
        <w:t>, de Memoria Democrática, así como en los expedientes regulados en el Título IV bis de la Ley 15/2015, de 2 de julio, de la Jurisdicción Voluntaria.</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b) Representar a la persona titular de la Fiscalía General del Estado en todos los actos de reconocimiento a nuestra memoria democrática.</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c) Practicar las diligencias a que se refiere el artículo 5 y ejercitar la acción pública en cualquier tipo de procedimiento, directamente o a través de instrucciones, exigiendo las responsabilidades que procedan, cuando se refiera a hechos producidos con ocasión de la Guerra Civil y la Dictadura franquista y las violaciones de Derechos Humanos, incluyendo los que tuvieron lugar hasta la entrada en vigor de la Constitución, siempre que pudieran ser constitutivos de delito.  Así como facilitar u coordinar los instrumentos de cooperación internacional para la reparación de las víctimas.</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 xml:space="preserve">d) Representar a la Fiscalía General del Estado y relacionarse con el Defensor del Pueblo en los términos previstos en su normativa reguladora. </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e) Coordinar las Fiscalías en materia de memoria democrática y derechos humanos, unificando los criterios de actuación, para lo cual podrá proponer a la persona titular de la Fiscalía General la emisión de las correspondientes instrucciones.</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f) Coordinar la acción del Ministerio Fiscal en materia de interpretación de la jurisprudencia del Tribunal Europeo de Derechos Humanos, en especial en aquello que pudiera afectar a los recursos de revisión de sentencias en por esta materia. Asimismo, será el cauce de relación y coordinación entre la Fiscalía del Tribunal Supremo y la Fiscalía ante el Tribunal Constitucional.</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color w:val="FF0000"/>
        </w:rPr>
      </w:pPr>
      <w:r>
        <w:rPr>
          <w:rFonts w:ascii="Arial" w:eastAsia="Arial" w:hAnsi="Arial" w:cs="Arial"/>
        </w:rPr>
        <w:t>g) Elaborar anualmente y presentar a la persona titular de la Fiscalía General del Estado un informe sobre las actuaciones practicadas por el Ministerio Fiscal en materia de memoria democrática y derechos humanos, que será incorporado a la memoria anual presentada por la Fiscalía General del Estado.</w:t>
      </w:r>
      <w:r>
        <w:rPr>
          <w:rFonts w:ascii="Arial" w:eastAsia="Arial" w:hAnsi="Arial" w:cs="Arial"/>
          <w:color w:val="FF0000"/>
        </w:rPr>
        <w:t>»</w:t>
      </w:r>
    </w:p>
    <w:p w:rsidR="00713587" w:rsidRDefault="00713587">
      <w:pPr>
        <w:spacing w:line="288" w:lineRule="auto"/>
        <w:ind w:left="709" w:right="172"/>
        <w:jc w:val="both"/>
        <w:rPr>
          <w:rFonts w:ascii="Arial" w:eastAsia="Arial" w:hAnsi="Arial" w:cs="Arial"/>
          <w:color w:val="FF0000"/>
        </w:rPr>
      </w:pPr>
    </w:p>
    <w:p w:rsidR="00713587" w:rsidRDefault="001B676B">
      <w:pPr>
        <w:spacing w:line="288" w:lineRule="auto"/>
        <w:ind w:left="360" w:right="172"/>
        <w:jc w:val="both"/>
        <w:rPr>
          <w:rFonts w:ascii="Arial" w:eastAsia="Arial" w:hAnsi="Arial" w:cs="Arial"/>
          <w:b/>
        </w:rPr>
      </w:pPr>
      <w:r>
        <w:rPr>
          <w:rFonts w:ascii="Arial" w:eastAsia="Arial" w:hAnsi="Arial" w:cs="Arial"/>
          <w:b/>
        </w:rPr>
        <w:lastRenderedPageBreak/>
        <w:t>Disposición final segunda. Modificación de la Ley 15/2015, de 2 de julio, de la Jurisdicción Voluntaria.</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rPr>
        <w:t>Se introduce un nuevo título IV bis en la Ley 15/2015, de 2 de julio, de Jurisdicción Voluntaria, con el siguiente contenido:</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«TÍTULO IV BIS</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De los expedientes de jurisdicción voluntaria relativos a declaraciones judiciales sobre hechos pasados</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Artículo 95 bis. Ámbito de aplicación.</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1. Se aplicarán las disposiciones de este título a los expedientes que tengan por objeto la obtención de una declaración judicial sobre la realidad y las circunstancias de hechos pasados determinados, siempre que no exista controversia que deba sustanciarse en un proceso contencioso.</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Podrá interesarse emisión de declaración judicial sobre hechos de cualquier naturaleza, concretos, ya acaecidos, percibidos o no por el promotor del expediente.</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2. Podrá acudirse a este expediente siempre que se den las siguientes condiciones:</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a) Que su objeto sea posible y lícito.</w:t>
      </w:r>
    </w:p>
    <w:p w:rsidR="00713587" w:rsidRDefault="001B676B">
      <w:pPr>
        <w:spacing w:line="288" w:lineRule="auto"/>
        <w:ind w:left="709" w:right="172"/>
        <w:jc w:val="both"/>
        <w:rPr>
          <w:rFonts w:ascii="Arial" w:eastAsia="Arial" w:hAnsi="Arial" w:cs="Arial"/>
        </w:rPr>
      </w:pPr>
      <w:r>
        <w:rPr>
          <w:rFonts w:ascii="Arial" w:eastAsia="Arial" w:hAnsi="Arial" w:cs="Arial"/>
        </w:rPr>
        <w:t>b) Que exista un principio de prueba de los hechos sobre los que se interesa la información.</w:t>
      </w:r>
    </w:p>
    <w:p w:rsidR="00713587" w:rsidRDefault="001B676B">
      <w:pPr>
        <w:spacing w:line="288" w:lineRule="auto"/>
        <w:ind w:left="709" w:right="172"/>
        <w:jc w:val="both"/>
        <w:rPr>
          <w:rFonts w:ascii="Arial" w:eastAsia="Arial" w:hAnsi="Arial" w:cs="Arial"/>
        </w:rPr>
      </w:pPr>
      <w:r>
        <w:rPr>
          <w:rFonts w:ascii="Arial" w:eastAsia="Arial" w:hAnsi="Arial" w:cs="Arial"/>
        </w:rPr>
        <w:t>c) Que de los hechos sobre los que se interesa la información no resulte perjuicio para una persona cierta y determinada.</w:t>
      </w:r>
    </w:p>
    <w:p w:rsidR="00713587" w:rsidRDefault="001B676B">
      <w:pPr>
        <w:spacing w:line="288" w:lineRule="auto"/>
        <w:ind w:left="709" w:right="172"/>
        <w:jc w:val="both"/>
        <w:rPr>
          <w:rFonts w:ascii="Arial" w:eastAsia="Arial" w:hAnsi="Arial" w:cs="Arial"/>
        </w:rPr>
      </w:pPr>
      <w:r>
        <w:rPr>
          <w:rFonts w:ascii="Arial" w:eastAsia="Arial" w:hAnsi="Arial" w:cs="Arial"/>
        </w:rPr>
        <w:t>d) Que los hechos sobre los que se interesa la información no sean objeto de un procedimiento judicial en trámite.</w:t>
      </w:r>
    </w:p>
    <w:p w:rsidR="00713587" w:rsidRDefault="001B676B">
      <w:pPr>
        <w:spacing w:line="288" w:lineRule="auto"/>
        <w:ind w:left="709" w:right="172"/>
        <w:jc w:val="both"/>
        <w:rPr>
          <w:rFonts w:ascii="Arial" w:eastAsia="Arial" w:hAnsi="Arial" w:cs="Arial"/>
        </w:rPr>
      </w:pPr>
      <w:r>
        <w:rPr>
          <w:rFonts w:ascii="Arial" w:eastAsia="Arial" w:hAnsi="Arial" w:cs="Arial"/>
        </w:rPr>
        <w:t>e) Que no exista otro procedimiento judicial legalmente indicado para la demostración de los hechos sobre los que se interesa la información.</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Artículo 95 ter. Competencia, legitimación y postulación.</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 xml:space="preserve">1. Será competente para conocer de este expediente el Juzgado de Primera Instancia del lugar donde acaecieron los hechos a los que se refiere la </w:t>
      </w:r>
      <w:r>
        <w:rPr>
          <w:rFonts w:ascii="Arial" w:eastAsia="Arial" w:hAnsi="Arial" w:cs="Arial"/>
        </w:rPr>
        <w:lastRenderedPageBreak/>
        <w:t>declaración judicial interesada y, si fueran varios lugares, el de cualquiera de ellos a elección del solicitante.</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En su defecto, será competente el Juzgado de Primera Instancia que corresponda al domicilio del solicitante.</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2. Podrán promover este expediente quienes sean titulares de derechos o intereses legítimos en relación con los hechos respecto de los cuales se interesa la información.</w:t>
      </w:r>
    </w:p>
    <w:p w:rsidR="00713587" w:rsidRDefault="001B676B">
      <w:pPr>
        <w:spacing w:line="288" w:lineRule="auto"/>
        <w:ind w:left="709" w:right="172"/>
        <w:jc w:val="both"/>
        <w:rPr>
          <w:rFonts w:ascii="Arial" w:eastAsia="Arial" w:hAnsi="Arial" w:cs="Arial"/>
        </w:rPr>
      </w:pPr>
      <w:r>
        <w:rPr>
          <w:rFonts w:ascii="Arial" w:eastAsia="Arial" w:hAnsi="Arial" w:cs="Arial"/>
        </w:rPr>
        <w:t>Asimismo, ostenta legitimación activa el Ministerio Fiscal, quien actuará de oficio o a solicitud de cualquier persona.</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3. No es preceptiva la defensa de Letrado ni la representación por Procurador para la promoción e intervención en este expediente. En la Oficina Judicial existirán, a disposición de los interesados, impresos normalizados para formular la solicitud.</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4. El Ministerio Fiscal será siempre parte en este expediente.</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 xml:space="preserve">Artículo 95 </w:t>
      </w:r>
      <w:proofErr w:type="spellStart"/>
      <w:r>
        <w:rPr>
          <w:rFonts w:ascii="Arial" w:eastAsia="Arial" w:hAnsi="Arial" w:cs="Arial"/>
        </w:rPr>
        <w:t>quáter</w:t>
      </w:r>
      <w:proofErr w:type="spellEnd"/>
      <w:r>
        <w:rPr>
          <w:rFonts w:ascii="Arial" w:eastAsia="Arial" w:hAnsi="Arial" w:cs="Arial"/>
        </w:rPr>
        <w:t>. Tramitación y resolución.</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 xml:space="preserve">1. El expediente se iniciará a solicitud de la persona interesada o </w:t>
      </w:r>
      <w:proofErr w:type="gramStart"/>
      <w:r>
        <w:rPr>
          <w:rFonts w:ascii="Arial" w:eastAsia="Arial" w:hAnsi="Arial" w:cs="Arial"/>
        </w:rPr>
        <w:t>del  Ministerio</w:t>
      </w:r>
      <w:proofErr w:type="gramEnd"/>
      <w:r>
        <w:rPr>
          <w:rFonts w:ascii="Arial" w:eastAsia="Arial" w:hAnsi="Arial" w:cs="Arial"/>
        </w:rPr>
        <w:t xml:space="preserve"> Fiscal. La solicitud expresará con claridad el contenido de la declaración judicial que se interesa y contendrá un relato de las circunstancias relevantes a los efectos de la solicitud y la identificación de las personas que puedan estar interesadas.</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2. Si el Letrado de la Administración de Justicia entendiese que no existe competencia objetiva o territorial para conocer del expediente, o bien advirtiese la falta de alguna de las condiciones recogidas en el apartado segundo del artículo 95 bis, dará cuenta al Juez que, previa audiencia del Ministerio Fiscal y del solicitante, decidirá por auto sobre la admisibilidad del expediente.</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3. Cumplidos los requisitos de admisibilidad, el Letrado de la Administración de Justicia admitirá a trámite la solicitud y convocará a una comparecencia al promotor, al Ministerio Fiscal y a cuantas personas pudieran estar interesadas en los hechos respecto de los que se interesa la información.</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lastRenderedPageBreak/>
        <w:t>En el plazo de cinco días tras la recepción de la citación, el promotor del expediente y el resto de los interesados podrán interesar la citación de las personas que, por no poderlas presentar, han de ser citadas por el Letrado de la Administración de Justicia a la vista para que declaren en calidad de testigos o peritos.</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En el mismo plazo de cinco días podrán las partes pedir respuestas escritas a cargo de personas jurídicas o entidades públicas, por los trámites establecidos en el artículo 381 de la Ley 1/2000, de 7 de enero, de Enjuiciamiento Civil. La comparecencia no se celebrará hasta tanto se haya recibido la respuesta escrita.</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4. La comparecencia se sustanciará por los trámites previstos en la Ley de Enjuiciamiento Civil para la vista del juicio verbal, practicándose la prueba pertinente y útil que propongan las partes.</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El Juez podrá ordenar de oficio, de forma motivada, la práctica de prueba, en aquellos supuestos en que exista un interés público, afecte a personas menores de edad o personas discapacitadas necesitadas de especial protección.</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5. En el plazo de cinco días tras la celebración de la comparecencia, el Juez dictará auto por el que se acceda o se deniegue la emisión de la declaración judicial interesada.</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Si accediere a la solicitud, el Juez realizará en la parte dispositiva del auto la declaración sobre hechos pasados determinados interesada por el promotor, con expresión de sus circunstancias, y se pronunciará, en su caso, en relación con las consecuencias que legalmente deriven de la declaración. Si de la declaración se derivara la existencia de un hecho inscribible en el Registro de la Propiedad, Mercantil u otro registro público, será aplicable lo dispuesto en el artículo 22.2.</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6. En cualquier momento durante la tramitación del expediente, los interesados o afectados por los hechos objeto del mismo podrán formular su oposición a la emisión de la declaración judicial interesada.</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lastRenderedPageBreak/>
        <w:t>En tal caso, si estimare justificada la oposición, el Juez acordará por auto el sobreseimiento del expediente, con reserva a las partes de su derecho a ejercitar la acción correspondiente.</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Si el Juez no estimare justificada la oposición, mandará por auto la continuación del expediente hasta su resolución.</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 xml:space="preserve">Artículo 95 </w:t>
      </w:r>
      <w:proofErr w:type="spellStart"/>
      <w:r>
        <w:rPr>
          <w:rFonts w:ascii="Arial" w:eastAsia="Arial" w:hAnsi="Arial" w:cs="Arial"/>
        </w:rPr>
        <w:t>quinquies</w:t>
      </w:r>
      <w:proofErr w:type="spellEnd"/>
      <w:r>
        <w:rPr>
          <w:rFonts w:ascii="Arial" w:eastAsia="Arial" w:hAnsi="Arial" w:cs="Arial"/>
        </w:rPr>
        <w:t>. Recursos.</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1. Las resoluciones interlocutorias dictadas durante la tramitación del expediente son susceptibles de recurso de reposición, en los términos previstos en la Ley de Enjuiciamiento Civil.</w:t>
      </w:r>
    </w:p>
    <w:p w:rsidR="00713587" w:rsidRDefault="00713587">
      <w:pPr>
        <w:spacing w:line="288" w:lineRule="auto"/>
        <w:ind w:left="709" w:right="172"/>
        <w:jc w:val="both"/>
        <w:rPr>
          <w:rFonts w:ascii="Arial" w:eastAsia="Arial" w:hAnsi="Arial" w:cs="Arial"/>
        </w:rPr>
      </w:pPr>
    </w:p>
    <w:p w:rsidR="00713587" w:rsidRDefault="001B676B">
      <w:pPr>
        <w:spacing w:line="288" w:lineRule="auto"/>
        <w:ind w:left="709" w:right="172"/>
        <w:jc w:val="both"/>
        <w:rPr>
          <w:rFonts w:ascii="Arial" w:eastAsia="Arial" w:hAnsi="Arial" w:cs="Arial"/>
        </w:rPr>
      </w:pPr>
      <w:r>
        <w:rPr>
          <w:rFonts w:ascii="Arial" w:eastAsia="Arial" w:hAnsi="Arial" w:cs="Arial"/>
        </w:rPr>
        <w:t>2. La resolución definitiva dictada según lo previsto en los apartados segundo, quinto o sexto del artículo anterior es susceptible de recurso de apelación, en los términos previstos en la Ley de Enjuiciamiento Civil.»</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Disposición final tercera. Título competencial.</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rPr>
        <w:t>La presente ley se dicta al amparo de la competencia exclusiva del Estado para dictar la regulación de las condiciones básicas que garanticen la igualdad de todos los españoles en el ejercicio de los derechos y en el cumplimiento de los deberes constitucionales, atribuida por el artículo 149.</w:t>
      </w:r>
      <w:proofErr w:type="gramStart"/>
      <w:r>
        <w:rPr>
          <w:rFonts w:ascii="Arial" w:eastAsia="Arial" w:hAnsi="Arial" w:cs="Arial"/>
        </w:rPr>
        <w:t>1.1ª</w:t>
      </w:r>
      <w:proofErr w:type="gramEnd"/>
      <w:r>
        <w:rPr>
          <w:rFonts w:ascii="Arial" w:eastAsia="Arial" w:hAnsi="Arial" w:cs="Arial"/>
        </w:rPr>
        <w:t xml:space="preserve"> de la Constitución Española.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Los artículos 5 y 6 y la disposición final tercera se dictan al amparo del artículo 149.</w:t>
      </w:r>
      <w:proofErr w:type="gramStart"/>
      <w:r>
        <w:rPr>
          <w:rFonts w:ascii="Arial" w:eastAsia="Arial" w:hAnsi="Arial" w:cs="Arial"/>
        </w:rPr>
        <w:t>1.6ª</w:t>
      </w:r>
      <w:proofErr w:type="gramEnd"/>
      <w:r>
        <w:rPr>
          <w:rFonts w:ascii="Arial" w:eastAsia="Arial" w:hAnsi="Arial" w:cs="Arial"/>
        </w:rPr>
        <w:t xml:space="preserve"> de la Constitución Española, que atribuye al Estado la competencia exclusiva para dictar legislación procesal.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Los artículos 14.2, 45 y 46 se dictan al amparo del artículo 149.</w:t>
      </w:r>
      <w:proofErr w:type="gramStart"/>
      <w:r>
        <w:rPr>
          <w:rFonts w:ascii="Arial" w:eastAsia="Arial" w:hAnsi="Arial" w:cs="Arial"/>
        </w:rPr>
        <w:t>1.15ª</w:t>
      </w:r>
      <w:proofErr w:type="gramEnd"/>
      <w:r>
        <w:rPr>
          <w:rFonts w:ascii="Arial" w:eastAsia="Arial" w:hAnsi="Arial" w:cs="Arial"/>
        </w:rPr>
        <w:t xml:space="preserve"> de la Constitución Española, que atribuye al Estado la competencia exclusiva de fomento y coordinación general de la investigación científica y técnica.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Los artículos 19 a 23 se dictan al amparo del artículo 149.</w:t>
      </w:r>
      <w:proofErr w:type="gramStart"/>
      <w:r>
        <w:rPr>
          <w:rFonts w:ascii="Arial" w:eastAsia="Arial" w:hAnsi="Arial" w:cs="Arial"/>
        </w:rPr>
        <w:t>1.18ª</w:t>
      </w:r>
      <w:proofErr w:type="gramEnd"/>
      <w:r>
        <w:rPr>
          <w:rFonts w:ascii="Arial" w:eastAsia="Arial" w:hAnsi="Arial" w:cs="Arial"/>
        </w:rPr>
        <w:t xml:space="preserve"> de la Constitución Española, que atribuye al Estado la competencia exclusiva en materia de procedimiento administrativo común y legislación obre expropiación forzosa.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Los artículos 27 y 28 se dictan al amparo del artículo 149.</w:t>
      </w:r>
      <w:proofErr w:type="gramStart"/>
      <w:r>
        <w:rPr>
          <w:rFonts w:ascii="Arial" w:eastAsia="Arial" w:hAnsi="Arial" w:cs="Arial"/>
        </w:rPr>
        <w:t>1.28ª</w:t>
      </w:r>
      <w:proofErr w:type="gramEnd"/>
      <w:r>
        <w:rPr>
          <w:rFonts w:ascii="Arial" w:eastAsia="Arial" w:hAnsi="Arial" w:cs="Arial"/>
        </w:rPr>
        <w:t xml:space="preserve"> de la Constitución Española, que atribuye al estado la competencia exclusiva sobre archivos de titularidad estatal.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bookmarkStart w:id="19" w:name="_z337ya" w:colFirst="0" w:colLast="0"/>
      <w:bookmarkEnd w:id="19"/>
      <w:r>
        <w:rPr>
          <w:rFonts w:ascii="Arial" w:eastAsia="Arial" w:hAnsi="Arial" w:cs="Arial"/>
        </w:rPr>
        <w:t xml:space="preserve">El artículo 34 y la disposición adicional </w:t>
      </w:r>
      <w:r>
        <w:rPr>
          <w:rFonts w:ascii="Arial" w:eastAsia="Arial" w:hAnsi="Arial" w:cs="Arial"/>
          <w:strike/>
        </w:rPr>
        <w:t xml:space="preserve">7ª </w:t>
      </w:r>
      <w:r>
        <w:rPr>
          <w:rFonts w:ascii="Arial" w:eastAsia="Arial" w:hAnsi="Arial" w:cs="Arial"/>
        </w:rPr>
        <w:t>séptima se dictan al amparo del artículo 149.</w:t>
      </w:r>
      <w:proofErr w:type="gramStart"/>
      <w:r>
        <w:rPr>
          <w:rFonts w:ascii="Arial" w:eastAsia="Arial" w:hAnsi="Arial" w:cs="Arial"/>
        </w:rPr>
        <w:t>1.8ª</w:t>
      </w:r>
      <w:proofErr w:type="gramEnd"/>
      <w:r>
        <w:rPr>
          <w:rFonts w:ascii="Arial" w:eastAsia="Arial" w:hAnsi="Arial" w:cs="Arial"/>
        </w:rPr>
        <w:t xml:space="preserve"> de la Constitución Española, que atribuye al Estado la competencia exclusiva en materia de legislación civil.</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rPr>
        <w:t>El artículo 45 se dicta al amparo del artículo 149.</w:t>
      </w:r>
      <w:proofErr w:type="gramStart"/>
      <w:r>
        <w:rPr>
          <w:rFonts w:ascii="Arial" w:eastAsia="Arial" w:hAnsi="Arial" w:cs="Arial"/>
        </w:rPr>
        <w:t>1.30ª</w:t>
      </w:r>
      <w:proofErr w:type="gramEnd"/>
      <w:r>
        <w:rPr>
          <w:rFonts w:ascii="Arial" w:eastAsia="Arial" w:hAnsi="Arial" w:cs="Arial"/>
        </w:rPr>
        <w:t xml:space="preserve"> de la Constitución Española, que atribuye al Estado la competencia exclusiva para establecer la normativa básica para el desarrollo del artículo 27 de la Constitución Española.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b/>
        </w:rPr>
      </w:pPr>
      <w:r>
        <w:rPr>
          <w:rFonts w:ascii="Arial" w:eastAsia="Arial" w:hAnsi="Arial" w:cs="Arial"/>
          <w:b/>
        </w:rPr>
        <w:t>Disposición final cuarta. Habilitación para el desarrollo.</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rPr>
        <w:t>Se habilita al Gobierno y a sus Ministros, en el ámbito de sus respectivas competencias, para dictar cuantas disposiciones sean necesarias para el desarrollo y aplicación de lo establecido en esta ley.</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b/>
        </w:rPr>
      </w:pPr>
      <w:r>
        <w:rPr>
          <w:rFonts w:ascii="Arial" w:eastAsia="Arial" w:hAnsi="Arial" w:cs="Arial"/>
          <w:b/>
        </w:rPr>
        <w:t>Disposición final quinta. Disolución de asociaciones.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rPr>
        <w:t>En el plazo de un año a partir de la entrada en vigor de la presente ley, se promoverá la modificación de la Ley Orgánica 1/2002, de 22 de marzo, con el objeto de incluir como causa de disolución de las asociaciones la realización pública de apología del franquismo y la incitación directa o indirecta al odio o violencia contra las víctimas del golpe de Estado, de la guerra civil española o del franquismo por su condición de tales.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b/>
        </w:rPr>
      </w:pPr>
      <w:r>
        <w:rPr>
          <w:rFonts w:ascii="Arial" w:eastAsia="Arial" w:hAnsi="Arial" w:cs="Arial"/>
          <w:b/>
        </w:rPr>
        <w:t>Disposición final sexta. Acceso a la información pública de los archivos de la Administración General del Estado.</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rPr>
        <w:t>En el plazo de un año a partir de la entrada en vigor de la presente ley, se promoverá la modificación de la Ley 9/1968, de 5 de abril, sobre Secretos Oficiales, con el objetivo de garantizar el derecho de acceso a la información pública de todos los archivos pertenecientes a la Administración General del Estado referidos a la Guerra Civil y la Dictadura.</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b/>
        </w:rPr>
      </w:pPr>
      <w:r>
        <w:rPr>
          <w:rFonts w:ascii="Arial" w:eastAsia="Arial" w:hAnsi="Arial" w:cs="Arial"/>
          <w:b/>
        </w:rPr>
        <w:t>Disposición final séptima. Preservación y custodia de los archivos de los Presidentes de los Gobiernos constitucionales.</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rPr>
        <w:lastRenderedPageBreak/>
        <w:t xml:space="preserve">En el plazo de un año a partir de la entrada en vigor de la presente ley, conforme al artículo 133 de la Ley 40/2015, de 1 de octubre, de Régimen Jurídico del Sector Público, se creará una Fundación del Sector Público que tendrá como objeto el mantenimiento, preservación y custodia de los archivos de los Presidentes del Gobierno elegidos democráticamente, así como cualesquiera  otros documentos y bienes que se le confíen, para contribuir al conocimiento, difusión y promoción de la historia de la democracia en España a través de sus instituciones y las aportaciones de sus representantes. </w:t>
      </w:r>
    </w:p>
    <w:p w:rsidR="00713587" w:rsidRDefault="00713587">
      <w:pPr>
        <w:spacing w:line="288" w:lineRule="auto"/>
        <w:ind w:left="360" w:right="172"/>
        <w:jc w:val="both"/>
        <w:rPr>
          <w:rFonts w:ascii="Arial" w:eastAsia="Arial" w:hAnsi="Arial" w:cs="Arial"/>
        </w:rPr>
      </w:pPr>
    </w:p>
    <w:p w:rsidR="00713587" w:rsidRDefault="001B676B">
      <w:pPr>
        <w:spacing w:line="288" w:lineRule="auto"/>
        <w:ind w:left="360" w:right="172"/>
        <w:jc w:val="both"/>
        <w:rPr>
          <w:rFonts w:ascii="Arial" w:eastAsia="Arial" w:hAnsi="Arial" w:cs="Arial"/>
        </w:rPr>
      </w:pPr>
      <w:r>
        <w:rPr>
          <w:rFonts w:ascii="Arial" w:eastAsia="Arial" w:hAnsi="Arial" w:cs="Arial"/>
          <w:b/>
        </w:rPr>
        <w:t>Disposición final octava. Entrada en vigor.</w:t>
      </w:r>
    </w:p>
    <w:p w:rsidR="00713587" w:rsidRDefault="00713587">
      <w:pPr>
        <w:spacing w:line="288" w:lineRule="auto"/>
        <w:ind w:left="360" w:right="172"/>
        <w:jc w:val="both"/>
        <w:rPr>
          <w:rFonts w:ascii="Arial" w:eastAsia="Arial" w:hAnsi="Arial" w:cs="Arial"/>
          <w:b/>
        </w:rPr>
      </w:pPr>
    </w:p>
    <w:p w:rsidR="00713587" w:rsidRDefault="001B676B">
      <w:pPr>
        <w:spacing w:line="288" w:lineRule="auto"/>
        <w:ind w:left="360" w:right="172"/>
        <w:jc w:val="both"/>
        <w:rPr>
          <w:rFonts w:ascii="Arial" w:eastAsia="Arial" w:hAnsi="Arial" w:cs="Arial"/>
        </w:rPr>
      </w:pPr>
      <w:r>
        <w:rPr>
          <w:rFonts w:ascii="Arial" w:eastAsia="Arial" w:hAnsi="Arial" w:cs="Arial"/>
        </w:rPr>
        <w:t>Esta Ley entrará en vigor el día siguiente al de su publicación en el «Boletín Oficial del Estado».</w:t>
      </w:r>
    </w:p>
    <w:p w:rsidR="00713587" w:rsidRDefault="00713587">
      <w:pPr>
        <w:spacing w:line="288" w:lineRule="auto"/>
        <w:ind w:left="360" w:right="172"/>
        <w:jc w:val="both"/>
        <w:rPr>
          <w:rFonts w:ascii="Arial" w:eastAsia="Arial" w:hAnsi="Arial" w:cs="Arial"/>
        </w:rPr>
      </w:pPr>
    </w:p>
    <w:p w:rsidR="00713587" w:rsidRDefault="001B676B">
      <w:pPr>
        <w:spacing w:line="288" w:lineRule="auto"/>
        <w:jc w:val="center"/>
        <w:rPr>
          <w:rFonts w:ascii="Arial" w:eastAsia="Arial" w:hAnsi="Arial" w:cs="Arial"/>
        </w:rPr>
      </w:pPr>
      <w:proofErr w:type="gramStart"/>
      <w:r>
        <w:rPr>
          <w:rFonts w:ascii="Arial" w:eastAsia="Arial" w:hAnsi="Arial" w:cs="Arial"/>
        </w:rPr>
        <w:t xml:space="preserve">Madrid,   </w:t>
      </w:r>
      <w:proofErr w:type="gramEnd"/>
      <w:r>
        <w:rPr>
          <w:rFonts w:ascii="Arial" w:eastAsia="Arial" w:hAnsi="Arial" w:cs="Arial"/>
        </w:rPr>
        <w:t xml:space="preserve">  de                    </w:t>
      </w:r>
      <w:proofErr w:type="spellStart"/>
      <w:r>
        <w:rPr>
          <w:rFonts w:ascii="Arial" w:eastAsia="Arial" w:hAnsi="Arial" w:cs="Arial"/>
        </w:rPr>
        <w:t>de</w:t>
      </w:r>
      <w:proofErr w:type="spellEnd"/>
      <w:r>
        <w:rPr>
          <w:rFonts w:ascii="Arial" w:eastAsia="Arial" w:hAnsi="Arial" w:cs="Arial"/>
        </w:rPr>
        <w:t xml:space="preserve"> 2020</w:t>
      </w:r>
    </w:p>
    <w:p w:rsidR="00713587" w:rsidRDefault="00713587">
      <w:pPr>
        <w:spacing w:line="288" w:lineRule="auto"/>
        <w:jc w:val="center"/>
        <w:rPr>
          <w:rFonts w:ascii="Arial" w:eastAsia="Arial" w:hAnsi="Arial" w:cs="Arial"/>
        </w:rPr>
      </w:pPr>
    </w:p>
    <w:p w:rsidR="00713587" w:rsidRDefault="001B676B">
      <w:pPr>
        <w:spacing w:line="288" w:lineRule="auto"/>
        <w:jc w:val="center"/>
        <w:rPr>
          <w:rFonts w:ascii="Arial" w:eastAsia="Arial" w:hAnsi="Arial" w:cs="Arial"/>
        </w:rPr>
      </w:pPr>
      <w:r>
        <w:rPr>
          <w:rFonts w:ascii="Arial" w:eastAsia="Arial" w:hAnsi="Arial" w:cs="Arial"/>
        </w:rPr>
        <w:t>LA VICEPRESIDENTA PRIMERA DEL GOBIERNO</w:t>
      </w:r>
    </w:p>
    <w:p w:rsidR="00713587" w:rsidRDefault="001B676B">
      <w:pPr>
        <w:spacing w:line="288" w:lineRule="auto"/>
        <w:jc w:val="center"/>
        <w:rPr>
          <w:rFonts w:ascii="Arial" w:eastAsia="Arial" w:hAnsi="Arial" w:cs="Arial"/>
        </w:rPr>
      </w:pPr>
      <w:r>
        <w:rPr>
          <w:rFonts w:ascii="Arial" w:eastAsia="Arial" w:hAnsi="Arial" w:cs="Arial"/>
        </w:rPr>
        <w:t>Y MINISTRA DE LA PRESIDENCIA, RELACIONES CON LAS CORTES</w:t>
      </w:r>
    </w:p>
    <w:p w:rsidR="00713587" w:rsidRDefault="001B676B">
      <w:pPr>
        <w:spacing w:line="288" w:lineRule="auto"/>
        <w:jc w:val="center"/>
        <w:rPr>
          <w:rFonts w:ascii="Arial" w:eastAsia="Arial" w:hAnsi="Arial" w:cs="Arial"/>
        </w:rPr>
      </w:pPr>
      <w:r>
        <w:rPr>
          <w:rFonts w:ascii="Arial" w:eastAsia="Arial" w:hAnsi="Arial" w:cs="Arial"/>
        </w:rPr>
        <w:t>Y MEMORIA DEMOCRÁTICA</w:t>
      </w:r>
    </w:p>
    <w:p w:rsidR="00713587" w:rsidRDefault="00713587">
      <w:pPr>
        <w:spacing w:line="288" w:lineRule="auto"/>
        <w:jc w:val="center"/>
        <w:rPr>
          <w:rFonts w:ascii="Arial" w:eastAsia="Arial" w:hAnsi="Arial" w:cs="Arial"/>
        </w:rPr>
      </w:pPr>
    </w:p>
    <w:p w:rsidR="00713587" w:rsidRDefault="00713587">
      <w:pPr>
        <w:spacing w:line="288" w:lineRule="auto"/>
        <w:jc w:val="center"/>
        <w:rPr>
          <w:rFonts w:ascii="Arial" w:eastAsia="Arial" w:hAnsi="Arial" w:cs="Arial"/>
        </w:rPr>
      </w:pPr>
    </w:p>
    <w:p w:rsidR="00713587" w:rsidRDefault="001B676B">
      <w:pPr>
        <w:spacing w:line="288" w:lineRule="auto"/>
        <w:jc w:val="center"/>
        <w:rPr>
          <w:rFonts w:ascii="Arial" w:eastAsia="Arial" w:hAnsi="Arial" w:cs="Arial"/>
        </w:rPr>
        <w:sectPr w:rsidR="00713587">
          <w:headerReference w:type="even" r:id="rId7"/>
          <w:headerReference w:type="default" r:id="rId8"/>
          <w:footerReference w:type="even" r:id="rId9"/>
          <w:footerReference w:type="default" r:id="rId10"/>
          <w:headerReference w:type="first" r:id="rId11"/>
          <w:footerReference w:type="first" r:id="rId12"/>
          <w:pgSz w:w="11906" w:h="16838"/>
          <w:pgMar w:top="2410" w:right="737" w:bottom="1135" w:left="737" w:header="720" w:footer="720" w:gutter="0"/>
          <w:pgNumType w:start="1"/>
          <w:cols w:space="720" w:equalWidth="0">
            <w:col w:w="8838"/>
          </w:cols>
          <w:titlePg/>
        </w:sectPr>
      </w:pPr>
      <w:r>
        <w:rPr>
          <w:rFonts w:ascii="Arial" w:eastAsia="Arial" w:hAnsi="Arial" w:cs="Arial"/>
        </w:rPr>
        <w:t>Carmen Calvo Poyato</w:t>
      </w:r>
    </w:p>
    <w:p w:rsidR="00713587" w:rsidRDefault="00713587">
      <w:pPr>
        <w:jc w:val="both"/>
        <w:rPr>
          <w:rFonts w:ascii="Arial" w:eastAsia="Arial" w:hAnsi="Arial" w:cs="Arial"/>
        </w:rPr>
      </w:pPr>
    </w:p>
    <w:sectPr w:rsidR="00713587">
      <w:type w:val="continuous"/>
      <w:pgSz w:w="11906" w:h="16838"/>
      <w:pgMar w:top="1701" w:right="737" w:bottom="726" w:left="737" w:header="720" w:footer="720" w:gutter="0"/>
      <w:cols w:space="720" w:equalWidth="0">
        <w:col w:w="883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90E" w:rsidRDefault="00BC790E">
      <w:r>
        <w:separator/>
      </w:r>
    </w:p>
  </w:endnote>
  <w:endnote w:type="continuationSeparator" w:id="0">
    <w:p w:rsidR="00BC790E" w:rsidRDefault="00BC7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yriad Pro Light">
    <w:panose1 w:val="00000000000000000000"/>
    <w:charset w:val="00"/>
    <w:family w:val="roman"/>
    <w:notTrueType/>
    <w:pitch w:val="default"/>
  </w:font>
  <w:font w:name="MyriadPro-Semibold">
    <w:panose1 w:val="00000000000000000000"/>
    <w:charset w:val="00"/>
    <w:family w:val="roman"/>
    <w:notTrueType/>
    <w:pitch w:val="default"/>
  </w:font>
  <w:font w:name="Celeste-Regular">
    <w:panose1 w:val="00000000000000000000"/>
    <w:charset w:val="00"/>
    <w:family w:val="roman"/>
    <w:notTrueType/>
    <w:pitch w:val="default"/>
  </w:font>
  <w:font w:name="PMingLiU">
    <w:altName w:val="新細明體"/>
    <w:panose1 w:val="02010601000101010101"/>
    <w:charset w:val="88"/>
    <w:family w:val="auto"/>
    <w:pitch w:val="variable"/>
    <w:sig w:usb0="00000001" w:usb1="08080000" w:usb2="00000010" w:usb3="00000000" w:csb0="00100000" w:csb1="00000000"/>
  </w:font>
  <w:font w:name="EUAlberti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76B" w:rsidRDefault="001B676B">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rsidR="001B676B" w:rsidRDefault="001B676B">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76B" w:rsidRDefault="001B676B">
    <w:pPr>
      <w:pBdr>
        <w:top w:val="nil"/>
        <w:left w:val="nil"/>
        <w:bottom w:val="nil"/>
        <w:right w:val="nil"/>
        <w:between w:val="nil"/>
      </w:pBdr>
      <w:tabs>
        <w:tab w:val="center" w:pos="4252"/>
        <w:tab w:val="right" w:pos="8504"/>
      </w:tabs>
      <w:rPr>
        <w:color w:val="000000"/>
      </w:rPr>
    </w:pPr>
    <w:r>
      <w:rPr>
        <w:color w:val="000000"/>
      </w:rPr>
      <w:fldChar w:fldCharType="begin"/>
    </w:r>
    <w:r>
      <w:rPr>
        <w:color w:val="000000"/>
      </w:rPr>
      <w:instrText>PAGE</w:instrText>
    </w:r>
    <w:r>
      <w:rPr>
        <w:color w:val="000000"/>
      </w:rPr>
      <w:fldChar w:fldCharType="separate"/>
    </w:r>
    <w:r w:rsidR="001C0344">
      <w:rPr>
        <w:noProof/>
        <w:color w:val="000000"/>
      </w:rPr>
      <w:t>18</w:t>
    </w:r>
    <w:r>
      <w:rPr>
        <w:color w:val="000000"/>
      </w:rPr>
      <w:fldChar w:fldCharType="end"/>
    </w:r>
  </w:p>
  <w:p w:rsidR="001B676B" w:rsidRDefault="001B676B">
    <w:pPr>
      <w:pBdr>
        <w:top w:val="nil"/>
        <w:left w:val="nil"/>
        <w:bottom w:val="nil"/>
        <w:right w:val="nil"/>
        <w:between w:val="nil"/>
      </w:pBdr>
      <w:tabs>
        <w:tab w:val="center" w:pos="4252"/>
        <w:tab w:val="right" w:pos="8504"/>
      </w:tabs>
      <w:ind w:right="360"/>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76B" w:rsidRDefault="001B676B">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90E" w:rsidRDefault="00BC790E">
      <w:r>
        <w:separator/>
      </w:r>
    </w:p>
  </w:footnote>
  <w:footnote w:type="continuationSeparator" w:id="0">
    <w:p w:rsidR="00BC790E" w:rsidRDefault="00BC79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76B" w:rsidRDefault="001B676B">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76B" w:rsidRDefault="001B676B">
    <w:pPr>
      <w:widowControl w:val="0"/>
      <w:pBdr>
        <w:top w:val="nil"/>
        <w:left w:val="nil"/>
        <w:bottom w:val="nil"/>
        <w:right w:val="nil"/>
        <w:between w:val="nil"/>
      </w:pBdr>
      <w:spacing w:line="276" w:lineRule="auto"/>
      <w:rPr>
        <w:rFonts w:ascii="Arial" w:eastAsia="Arial" w:hAnsi="Arial" w:cs="Arial"/>
      </w:rPr>
    </w:pPr>
  </w:p>
  <w:tbl>
    <w:tblPr>
      <w:tblStyle w:val="a0"/>
      <w:tblW w:w="10915" w:type="dxa"/>
      <w:jc w:val="center"/>
      <w:tblLayout w:type="fixed"/>
      <w:tblLook w:val="0000" w:firstRow="0" w:lastRow="0" w:firstColumn="0" w:lastColumn="0" w:noHBand="0" w:noVBand="0"/>
    </w:tblPr>
    <w:tblGrid>
      <w:gridCol w:w="1346"/>
      <w:gridCol w:w="7726"/>
      <w:gridCol w:w="1843"/>
    </w:tblGrid>
    <w:tr w:rsidR="001B676B">
      <w:trPr>
        <w:trHeight w:val="980"/>
        <w:jc w:val="center"/>
      </w:trPr>
      <w:tc>
        <w:tcPr>
          <w:tcW w:w="1346" w:type="dxa"/>
        </w:tcPr>
        <w:p w:rsidR="001B676B" w:rsidRDefault="001B676B">
          <w:pPr>
            <w:tabs>
              <w:tab w:val="center" w:pos="4252"/>
              <w:tab w:val="right" w:pos="8504"/>
            </w:tabs>
            <w:rPr>
              <w:color w:val="000000"/>
            </w:rPr>
          </w:pPr>
        </w:p>
      </w:tc>
      <w:tc>
        <w:tcPr>
          <w:tcW w:w="7726" w:type="dxa"/>
        </w:tcPr>
        <w:p w:rsidR="001B676B" w:rsidRDefault="001B676B">
          <w:pPr>
            <w:tabs>
              <w:tab w:val="left" w:pos="2127"/>
              <w:tab w:val="left" w:pos="6521"/>
            </w:tabs>
            <w:rPr>
              <w:color w:val="000000"/>
            </w:rPr>
          </w:pPr>
        </w:p>
      </w:tc>
      <w:tc>
        <w:tcPr>
          <w:tcW w:w="1843" w:type="dxa"/>
        </w:tcPr>
        <w:p w:rsidR="001B676B" w:rsidRDefault="001B676B">
          <w:pPr>
            <w:tabs>
              <w:tab w:val="left" w:pos="6521"/>
            </w:tabs>
            <w:spacing w:before="120" w:after="120"/>
            <w:jc w:val="right"/>
            <w:rPr>
              <w:rFonts w:ascii="Gill Sans" w:eastAsia="Gill Sans" w:hAnsi="Gill Sans" w:cs="Gill Sans"/>
              <w:color w:val="000000"/>
              <w:sz w:val="10"/>
              <w:szCs w:val="10"/>
            </w:rPr>
          </w:pPr>
          <w:r>
            <w:rPr>
              <w:color w:val="000000"/>
            </w:rPr>
            <w:object w:dxaOrig="1081" w:dyaOrig="11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3.5pt" fillcolor="window">
                <v:imagedata r:id="rId1" o:title=""/>
              </v:shape>
              <o:OLEObject Type="Embed" ProgID="Word.Picture.8" ShapeID="_x0000_i1025" DrawAspect="Content" ObjectID="_1661759787" r:id="rId2"/>
            </w:object>
          </w:r>
        </w:p>
      </w:tc>
    </w:tr>
  </w:tbl>
  <w:p w:rsidR="001B676B" w:rsidRDefault="001B676B">
    <w:pPr>
      <w:pBdr>
        <w:top w:val="nil"/>
        <w:left w:val="nil"/>
        <w:bottom w:val="nil"/>
        <w:right w:val="nil"/>
        <w:between w:val="nil"/>
      </w:pBdr>
      <w:tabs>
        <w:tab w:val="center" w:pos="4252"/>
        <w:tab w:val="right" w:pos="8504"/>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76B" w:rsidRDefault="001B676B">
    <w:pPr>
      <w:widowControl w:val="0"/>
      <w:pBdr>
        <w:top w:val="nil"/>
        <w:left w:val="nil"/>
        <w:bottom w:val="nil"/>
        <w:right w:val="nil"/>
        <w:between w:val="nil"/>
      </w:pBdr>
      <w:spacing w:line="276" w:lineRule="auto"/>
      <w:rPr>
        <w:color w:val="000000"/>
      </w:rPr>
    </w:pPr>
  </w:p>
  <w:tbl>
    <w:tblPr>
      <w:tblStyle w:val="a1"/>
      <w:tblW w:w="10793" w:type="dxa"/>
      <w:jc w:val="center"/>
      <w:tblLayout w:type="fixed"/>
      <w:tblLook w:val="0000" w:firstRow="0" w:lastRow="0" w:firstColumn="0" w:lastColumn="0" w:noHBand="0" w:noVBand="0"/>
    </w:tblPr>
    <w:tblGrid>
      <w:gridCol w:w="1305"/>
      <w:gridCol w:w="5255"/>
      <w:gridCol w:w="1217"/>
      <w:gridCol w:w="3016"/>
    </w:tblGrid>
    <w:tr w:rsidR="001B676B">
      <w:trPr>
        <w:trHeight w:val="420"/>
        <w:jc w:val="center"/>
      </w:trPr>
      <w:tc>
        <w:tcPr>
          <w:tcW w:w="1305" w:type="dxa"/>
          <w:vMerge w:val="restart"/>
        </w:tcPr>
        <w:bookmarkStart w:id="20" w:name="_3j2qqm3" w:colFirst="0" w:colLast="0"/>
        <w:bookmarkEnd w:id="20"/>
        <w:p w:rsidR="001B676B" w:rsidRDefault="001B676B">
          <w:pPr>
            <w:tabs>
              <w:tab w:val="center" w:pos="4252"/>
              <w:tab w:val="right" w:pos="8504"/>
            </w:tabs>
            <w:ind w:left="-41" w:right="1318"/>
            <w:rPr>
              <w:color w:val="000000"/>
            </w:rPr>
          </w:pPr>
          <w:r>
            <w:rPr>
              <w:color w:val="000000"/>
            </w:rPr>
            <w:object w:dxaOrig="1081" w:dyaOrig="11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7pt;height:59.25pt" fillcolor="window">
                <v:imagedata r:id="rId1" o:title=""/>
              </v:shape>
              <o:OLEObject Type="Embed" ProgID="Word.Picture.8" ShapeID="_x0000_i1026" DrawAspect="Content" ObjectID="_1661759788" r:id="rId2"/>
            </w:object>
          </w:r>
        </w:p>
      </w:tc>
      <w:tc>
        <w:tcPr>
          <w:tcW w:w="5255" w:type="dxa"/>
          <w:vMerge w:val="restart"/>
        </w:tcPr>
        <w:p w:rsidR="001B676B" w:rsidRDefault="001B676B">
          <w:pPr>
            <w:rPr>
              <w:rFonts w:ascii="Gill Sans" w:eastAsia="Gill Sans" w:hAnsi="Gill Sans" w:cs="Gill Sans"/>
              <w:sz w:val="20"/>
              <w:szCs w:val="20"/>
            </w:rPr>
          </w:pPr>
        </w:p>
        <w:p w:rsidR="001B676B" w:rsidRDefault="001B676B">
          <w:pPr>
            <w:spacing w:line="312" w:lineRule="auto"/>
            <w:rPr>
              <w:rFonts w:ascii="Gill Sans" w:eastAsia="Gill Sans" w:hAnsi="Gill Sans" w:cs="Gill Sans"/>
              <w:sz w:val="20"/>
              <w:szCs w:val="20"/>
            </w:rPr>
          </w:pPr>
          <w:r>
            <w:rPr>
              <w:rFonts w:ascii="Gill Sans" w:eastAsia="Gill Sans" w:hAnsi="Gill Sans" w:cs="Gill Sans"/>
              <w:sz w:val="20"/>
              <w:szCs w:val="20"/>
            </w:rPr>
            <w:t>MINISTERIO</w:t>
          </w:r>
        </w:p>
        <w:p w:rsidR="001B676B" w:rsidRDefault="001B676B">
          <w:pPr>
            <w:spacing w:line="312" w:lineRule="auto"/>
            <w:rPr>
              <w:rFonts w:ascii="Gill Sans" w:eastAsia="Gill Sans" w:hAnsi="Gill Sans" w:cs="Gill Sans"/>
              <w:sz w:val="20"/>
              <w:szCs w:val="20"/>
            </w:rPr>
          </w:pPr>
          <w:r>
            <w:rPr>
              <w:rFonts w:ascii="Gill Sans" w:eastAsia="Gill Sans" w:hAnsi="Gill Sans" w:cs="Gill Sans"/>
              <w:sz w:val="20"/>
              <w:szCs w:val="20"/>
            </w:rPr>
            <w:t>DE LA PRESIDENCIA, RELACIONES CON LAS CORTES</w:t>
          </w:r>
        </w:p>
        <w:p w:rsidR="001B676B" w:rsidRDefault="001B676B">
          <w:pPr>
            <w:spacing w:line="312" w:lineRule="auto"/>
            <w:rPr>
              <w:rFonts w:ascii="Gill Sans" w:eastAsia="Gill Sans" w:hAnsi="Gill Sans" w:cs="Gill Sans"/>
              <w:sz w:val="20"/>
              <w:szCs w:val="20"/>
            </w:rPr>
          </w:pPr>
          <w:r>
            <w:rPr>
              <w:rFonts w:ascii="Gill Sans" w:eastAsia="Gill Sans" w:hAnsi="Gill Sans" w:cs="Gill Sans"/>
              <w:sz w:val="20"/>
              <w:szCs w:val="20"/>
            </w:rPr>
            <w:t>Y MEMORIA DEMOCRÁTICA</w:t>
          </w:r>
        </w:p>
        <w:p w:rsidR="001B676B" w:rsidRDefault="001B676B">
          <w:pPr>
            <w:tabs>
              <w:tab w:val="left" w:pos="-819"/>
              <w:tab w:val="left" w:pos="6521"/>
            </w:tabs>
            <w:ind w:right="-7"/>
            <w:rPr>
              <w:rFonts w:ascii="Arial" w:eastAsia="Arial" w:hAnsi="Arial" w:cs="Arial"/>
              <w:color w:val="000000"/>
              <w:sz w:val="20"/>
              <w:szCs w:val="20"/>
            </w:rPr>
          </w:pPr>
        </w:p>
      </w:tc>
      <w:tc>
        <w:tcPr>
          <w:tcW w:w="1217" w:type="dxa"/>
          <w:vMerge w:val="restart"/>
        </w:tcPr>
        <w:p w:rsidR="001B676B" w:rsidRDefault="001B676B">
          <w:pPr>
            <w:tabs>
              <w:tab w:val="left" w:pos="-819"/>
              <w:tab w:val="left" w:pos="6521"/>
            </w:tabs>
            <w:rPr>
              <w:rFonts w:ascii="Gill Sans" w:eastAsia="Gill Sans" w:hAnsi="Gill Sans" w:cs="Gill Sans"/>
              <w:color w:val="000000"/>
              <w:sz w:val="16"/>
              <w:szCs w:val="16"/>
            </w:rPr>
          </w:pPr>
          <w:r>
            <w:rPr>
              <w:rFonts w:ascii="Gill Sans" w:eastAsia="Gill Sans" w:hAnsi="Gill Sans" w:cs="Gill Sans"/>
              <w:color w:val="000000"/>
              <w:sz w:val="16"/>
              <w:szCs w:val="16"/>
            </w:rPr>
            <w:t xml:space="preserve">              </w:t>
          </w:r>
        </w:p>
        <w:p w:rsidR="001B676B" w:rsidRDefault="001B676B">
          <w:pPr>
            <w:tabs>
              <w:tab w:val="left" w:pos="-819"/>
              <w:tab w:val="left" w:pos="6521"/>
            </w:tabs>
            <w:rPr>
              <w:rFonts w:ascii="Gill Sans" w:eastAsia="Gill Sans" w:hAnsi="Gill Sans" w:cs="Gill Sans"/>
              <w:color w:val="000000"/>
              <w:sz w:val="16"/>
              <w:szCs w:val="16"/>
            </w:rPr>
          </w:pPr>
        </w:p>
        <w:p w:rsidR="001B676B" w:rsidRDefault="001B676B">
          <w:pPr>
            <w:tabs>
              <w:tab w:val="left" w:pos="-819"/>
              <w:tab w:val="left" w:pos="6521"/>
            </w:tabs>
            <w:rPr>
              <w:rFonts w:ascii="Gill Sans" w:eastAsia="Gill Sans" w:hAnsi="Gill Sans" w:cs="Gill Sans"/>
              <w:color w:val="000000"/>
              <w:sz w:val="16"/>
              <w:szCs w:val="16"/>
            </w:rPr>
          </w:pPr>
        </w:p>
        <w:p w:rsidR="001B676B" w:rsidRDefault="001B676B">
          <w:pPr>
            <w:tabs>
              <w:tab w:val="left" w:pos="-819"/>
              <w:tab w:val="left" w:pos="6521"/>
            </w:tabs>
            <w:rPr>
              <w:rFonts w:ascii="Gill Sans" w:eastAsia="Gill Sans" w:hAnsi="Gill Sans" w:cs="Gill Sans"/>
              <w:color w:val="000000"/>
              <w:sz w:val="16"/>
              <w:szCs w:val="16"/>
            </w:rPr>
          </w:pPr>
        </w:p>
        <w:p w:rsidR="001B676B" w:rsidRDefault="001B676B">
          <w:pPr>
            <w:tabs>
              <w:tab w:val="left" w:pos="-819"/>
              <w:tab w:val="left" w:pos="6521"/>
            </w:tabs>
            <w:rPr>
              <w:rFonts w:ascii="Gill Sans" w:eastAsia="Gill Sans" w:hAnsi="Gill Sans" w:cs="Gill Sans"/>
              <w:color w:val="000000"/>
              <w:sz w:val="16"/>
              <w:szCs w:val="16"/>
            </w:rPr>
          </w:pPr>
        </w:p>
        <w:p w:rsidR="001B676B" w:rsidRDefault="001B676B">
          <w:pPr>
            <w:jc w:val="right"/>
            <w:rPr>
              <w:sz w:val="22"/>
              <w:szCs w:val="22"/>
            </w:rPr>
          </w:pPr>
          <w:r>
            <w:rPr>
              <w:rFonts w:ascii="Gill Sans" w:eastAsia="Gill Sans" w:hAnsi="Gill Sans" w:cs="Gill Sans"/>
              <w:sz w:val="16"/>
              <w:szCs w:val="16"/>
            </w:rPr>
            <w:t xml:space="preserve">                                                                                         </w:t>
          </w:r>
        </w:p>
        <w:p w:rsidR="001B676B" w:rsidRDefault="001B676B">
          <w:pPr>
            <w:jc w:val="right"/>
            <w:rPr>
              <w:rFonts w:ascii="Gill Sans" w:eastAsia="Gill Sans" w:hAnsi="Gill Sans" w:cs="Gill Sans"/>
              <w:sz w:val="16"/>
              <w:szCs w:val="16"/>
            </w:rPr>
          </w:pPr>
        </w:p>
      </w:tc>
      <w:tc>
        <w:tcPr>
          <w:tcW w:w="3016" w:type="dxa"/>
          <w:shd w:val="clear" w:color="auto" w:fill="FFFFFF"/>
        </w:tcPr>
        <w:p w:rsidR="001B676B" w:rsidRDefault="001B676B">
          <w:pPr>
            <w:tabs>
              <w:tab w:val="left" w:pos="6521"/>
            </w:tabs>
            <w:spacing w:before="100"/>
            <w:rPr>
              <w:color w:val="000000"/>
            </w:rPr>
          </w:pPr>
        </w:p>
        <w:p w:rsidR="001B676B" w:rsidRDefault="001B676B">
          <w:pPr>
            <w:tabs>
              <w:tab w:val="left" w:pos="6521"/>
            </w:tabs>
            <w:spacing w:before="100"/>
            <w:rPr>
              <w:color w:val="000000"/>
            </w:rPr>
          </w:pPr>
        </w:p>
      </w:tc>
    </w:tr>
    <w:tr w:rsidR="001B676B">
      <w:trPr>
        <w:trHeight w:val="100"/>
        <w:jc w:val="center"/>
      </w:trPr>
      <w:tc>
        <w:tcPr>
          <w:tcW w:w="1305" w:type="dxa"/>
          <w:vMerge/>
        </w:tcPr>
        <w:p w:rsidR="001B676B" w:rsidRDefault="001B676B">
          <w:pPr>
            <w:widowControl w:val="0"/>
            <w:spacing w:line="276" w:lineRule="auto"/>
            <w:rPr>
              <w:color w:val="000000"/>
            </w:rPr>
          </w:pPr>
        </w:p>
      </w:tc>
      <w:tc>
        <w:tcPr>
          <w:tcW w:w="5255" w:type="dxa"/>
          <w:vMerge/>
        </w:tcPr>
        <w:p w:rsidR="001B676B" w:rsidRDefault="001B676B">
          <w:pPr>
            <w:widowControl w:val="0"/>
            <w:spacing w:line="276" w:lineRule="auto"/>
            <w:rPr>
              <w:color w:val="000000"/>
            </w:rPr>
          </w:pPr>
        </w:p>
      </w:tc>
      <w:tc>
        <w:tcPr>
          <w:tcW w:w="1217" w:type="dxa"/>
          <w:vMerge/>
        </w:tcPr>
        <w:p w:rsidR="001B676B" w:rsidRDefault="001B676B">
          <w:pPr>
            <w:widowControl w:val="0"/>
            <w:spacing w:line="276" w:lineRule="auto"/>
            <w:rPr>
              <w:color w:val="000000"/>
            </w:rPr>
          </w:pPr>
        </w:p>
      </w:tc>
      <w:tc>
        <w:tcPr>
          <w:tcW w:w="3016" w:type="dxa"/>
        </w:tcPr>
        <w:p w:rsidR="001B676B" w:rsidRDefault="001B676B">
          <w:pPr>
            <w:tabs>
              <w:tab w:val="left" w:pos="6521"/>
            </w:tabs>
            <w:ind w:right="782"/>
            <w:rPr>
              <w:rFonts w:ascii="Gill Sans" w:eastAsia="Gill Sans" w:hAnsi="Gill Sans" w:cs="Gill Sans"/>
              <w:color w:val="000000"/>
              <w:sz w:val="14"/>
              <w:szCs w:val="14"/>
            </w:rPr>
          </w:pPr>
        </w:p>
      </w:tc>
    </w:tr>
    <w:tr w:rsidR="001B676B">
      <w:trPr>
        <w:trHeight w:val="420"/>
        <w:jc w:val="center"/>
      </w:trPr>
      <w:tc>
        <w:tcPr>
          <w:tcW w:w="1305" w:type="dxa"/>
          <w:vMerge/>
        </w:tcPr>
        <w:p w:rsidR="001B676B" w:rsidRDefault="001B676B">
          <w:pPr>
            <w:widowControl w:val="0"/>
            <w:spacing w:line="276" w:lineRule="auto"/>
            <w:rPr>
              <w:rFonts w:ascii="Gill Sans" w:eastAsia="Gill Sans" w:hAnsi="Gill Sans" w:cs="Gill Sans"/>
              <w:color w:val="000000"/>
              <w:sz w:val="14"/>
              <w:szCs w:val="14"/>
            </w:rPr>
          </w:pPr>
        </w:p>
      </w:tc>
      <w:tc>
        <w:tcPr>
          <w:tcW w:w="5255" w:type="dxa"/>
          <w:vMerge/>
        </w:tcPr>
        <w:p w:rsidR="001B676B" w:rsidRDefault="001B676B">
          <w:pPr>
            <w:widowControl w:val="0"/>
            <w:spacing w:line="276" w:lineRule="auto"/>
            <w:rPr>
              <w:rFonts w:ascii="Gill Sans" w:eastAsia="Gill Sans" w:hAnsi="Gill Sans" w:cs="Gill Sans"/>
              <w:color w:val="000000"/>
              <w:sz w:val="14"/>
              <w:szCs w:val="14"/>
            </w:rPr>
          </w:pPr>
        </w:p>
      </w:tc>
      <w:tc>
        <w:tcPr>
          <w:tcW w:w="1217" w:type="dxa"/>
          <w:vMerge/>
        </w:tcPr>
        <w:p w:rsidR="001B676B" w:rsidRDefault="001B676B">
          <w:pPr>
            <w:widowControl w:val="0"/>
            <w:spacing w:line="276" w:lineRule="auto"/>
            <w:rPr>
              <w:rFonts w:ascii="Gill Sans" w:eastAsia="Gill Sans" w:hAnsi="Gill Sans" w:cs="Gill Sans"/>
              <w:color w:val="000000"/>
              <w:sz w:val="14"/>
              <w:szCs w:val="14"/>
            </w:rPr>
          </w:pPr>
        </w:p>
      </w:tc>
      <w:tc>
        <w:tcPr>
          <w:tcW w:w="3016" w:type="dxa"/>
        </w:tcPr>
        <w:p w:rsidR="001B676B" w:rsidRDefault="001B676B">
          <w:pPr>
            <w:tabs>
              <w:tab w:val="left" w:pos="6521"/>
            </w:tabs>
            <w:spacing w:before="100"/>
            <w:ind w:right="782"/>
            <w:rPr>
              <w:color w:val="000000"/>
            </w:rPr>
          </w:pPr>
        </w:p>
      </w:tc>
    </w:tr>
    <w:tr w:rsidR="001B676B">
      <w:trPr>
        <w:trHeight w:val="420"/>
        <w:jc w:val="center"/>
      </w:trPr>
      <w:tc>
        <w:tcPr>
          <w:tcW w:w="1305" w:type="dxa"/>
          <w:vMerge/>
        </w:tcPr>
        <w:p w:rsidR="001B676B" w:rsidRDefault="001B676B">
          <w:pPr>
            <w:widowControl w:val="0"/>
            <w:spacing w:line="276" w:lineRule="auto"/>
            <w:rPr>
              <w:color w:val="000000"/>
            </w:rPr>
          </w:pPr>
        </w:p>
      </w:tc>
      <w:tc>
        <w:tcPr>
          <w:tcW w:w="5255" w:type="dxa"/>
          <w:vMerge/>
        </w:tcPr>
        <w:p w:rsidR="001B676B" w:rsidRDefault="001B676B">
          <w:pPr>
            <w:widowControl w:val="0"/>
            <w:spacing w:line="276" w:lineRule="auto"/>
            <w:rPr>
              <w:color w:val="000000"/>
            </w:rPr>
          </w:pPr>
        </w:p>
      </w:tc>
      <w:tc>
        <w:tcPr>
          <w:tcW w:w="1217" w:type="dxa"/>
          <w:vMerge/>
        </w:tcPr>
        <w:p w:rsidR="001B676B" w:rsidRDefault="001B676B">
          <w:pPr>
            <w:widowControl w:val="0"/>
            <w:spacing w:line="276" w:lineRule="auto"/>
            <w:rPr>
              <w:color w:val="000000"/>
            </w:rPr>
          </w:pPr>
        </w:p>
      </w:tc>
      <w:tc>
        <w:tcPr>
          <w:tcW w:w="3016" w:type="dxa"/>
        </w:tcPr>
        <w:p w:rsidR="001B676B" w:rsidRDefault="001B676B">
          <w:pPr>
            <w:tabs>
              <w:tab w:val="left" w:pos="6521"/>
            </w:tabs>
            <w:spacing w:before="100"/>
            <w:ind w:right="782"/>
            <w:rPr>
              <w:color w:val="000000"/>
            </w:rPr>
          </w:pPr>
        </w:p>
      </w:tc>
    </w:tr>
  </w:tbl>
  <w:p w:rsidR="001B676B" w:rsidRDefault="001B676B">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02894"/>
    <w:multiLevelType w:val="multilevel"/>
    <w:tmpl w:val="DA988A60"/>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96A4FF0"/>
    <w:multiLevelType w:val="multilevel"/>
    <w:tmpl w:val="BFAEF990"/>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49C83D44"/>
    <w:multiLevelType w:val="multilevel"/>
    <w:tmpl w:val="4B263FE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5E52F67"/>
    <w:multiLevelType w:val="multilevel"/>
    <w:tmpl w:val="70420228"/>
    <w:lvl w:ilvl="0">
      <w:start w:val="1"/>
      <w:numFmt w:val="lowerLetter"/>
      <w:pStyle w:val="42ListadobaseCNMV"/>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797842DE"/>
    <w:multiLevelType w:val="multilevel"/>
    <w:tmpl w:val="E940EF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C120C1C"/>
    <w:multiLevelType w:val="multilevel"/>
    <w:tmpl w:val="66E263DE"/>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587"/>
    <w:rsid w:val="001B676B"/>
    <w:rsid w:val="001C0344"/>
    <w:rsid w:val="00713587"/>
    <w:rsid w:val="00BC790E"/>
    <w:rsid w:val="00C066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E20A418-E2F6-4A85-A8B3-5B05650F1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pPr>
      <w:keepNext/>
      <w:outlineLvl w:val="0"/>
    </w:pPr>
    <w:rPr>
      <w:sz w:val="40"/>
    </w:rPr>
  </w:style>
  <w:style w:type="paragraph" w:styleId="Ttulo2">
    <w:name w:val="heading 2"/>
    <w:basedOn w:val="Estilo2centro"/>
    <w:next w:val="Normal"/>
    <w:link w:val="Ttulo2Car"/>
    <w:uiPriority w:val="9"/>
    <w:unhideWhenUsed/>
    <w:qFormat/>
    <w:rsid w:val="00911C09"/>
    <w:pPr>
      <w:outlineLvl w:val="1"/>
    </w:pPr>
  </w:style>
  <w:style w:type="paragraph" w:styleId="Ttulo3">
    <w:name w:val="heading 3"/>
    <w:basedOn w:val="Normal"/>
    <w:next w:val="Normal"/>
    <w:link w:val="Ttulo3Car"/>
    <w:uiPriority w:val="9"/>
    <w:unhideWhenUsed/>
    <w:qFormat/>
    <w:rsid w:val="00911C09"/>
    <w:pPr>
      <w:keepNext/>
      <w:shd w:val="clear" w:color="auto" w:fill="FFFFFF"/>
      <w:spacing w:before="240" w:after="60"/>
      <w:ind w:firstLine="360"/>
      <w:jc w:val="center"/>
      <w:outlineLvl w:val="2"/>
    </w:pPr>
    <w:rPr>
      <w:rFonts w:ascii="Verdana" w:hAnsi="Verdana"/>
      <w:b/>
      <w:i/>
      <w:iCs/>
      <w:color w:val="333333"/>
      <w:sz w:val="19"/>
      <w:szCs w:val="19"/>
    </w:rPr>
  </w:style>
  <w:style w:type="paragraph" w:styleId="Ttulo4">
    <w:name w:val="heading 4"/>
    <w:basedOn w:val="Normal"/>
    <w:link w:val="Ttulo4Car"/>
    <w:uiPriority w:val="9"/>
    <w:qFormat/>
    <w:rsid w:val="00911C09"/>
    <w:pPr>
      <w:shd w:val="clear" w:color="auto" w:fill="FFFFFF"/>
      <w:spacing w:before="360" w:after="180"/>
      <w:ind w:firstLine="360"/>
      <w:jc w:val="both"/>
      <w:outlineLvl w:val="3"/>
    </w:pPr>
    <w:rPr>
      <w:rFonts w:ascii="Verdana" w:hAnsi="Verdana"/>
      <w:b/>
      <w:bCs/>
      <w:color w:val="333333"/>
      <w:sz w:val="19"/>
      <w:szCs w:val="19"/>
    </w:rPr>
  </w:style>
  <w:style w:type="paragraph" w:styleId="Ttulo5">
    <w:name w:val="heading 5"/>
    <w:basedOn w:val="Normal"/>
    <w:next w:val="Normal"/>
    <w:link w:val="Ttulo5Car"/>
    <w:uiPriority w:val="9"/>
    <w:unhideWhenUsed/>
    <w:qFormat/>
    <w:rsid w:val="00911C09"/>
    <w:pPr>
      <w:keepNext/>
      <w:keepLines/>
      <w:shd w:val="clear" w:color="auto" w:fill="FFFFFF"/>
      <w:spacing w:before="200"/>
      <w:ind w:firstLine="360"/>
      <w:jc w:val="both"/>
      <w:outlineLvl w:val="4"/>
    </w:pPr>
    <w:rPr>
      <w:rFonts w:ascii="Cambria" w:hAnsi="Cambria"/>
      <w:color w:val="243F60"/>
      <w:sz w:val="19"/>
      <w:szCs w:val="19"/>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Sangradetextonormal">
    <w:name w:val="Body Text Indent"/>
    <w:basedOn w:val="Normal"/>
    <w:link w:val="SangradetextonormalCar1"/>
    <w:uiPriority w:val="99"/>
    <w:pPr>
      <w:spacing w:before="120"/>
      <w:ind w:left="72"/>
      <w:jc w:val="both"/>
    </w:pPr>
    <w:rPr>
      <w:rFonts w:ascii="Gill Sans MT" w:hAnsi="Gill Sans MT"/>
      <w:sz w:val="16"/>
      <w:szCs w:val="20"/>
    </w:rPr>
  </w:style>
  <w:style w:type="character" w:styleId="Nmerodepgina">
    <w:name w:val="page number"/>
    <w:basedOn w:val="Fuentedeprrafopredeter"/>
  </w:style>
  <w:style w:type="character" w:customStyle="1" w:styleId="EncabezadoCar">
    <w:name w:val="Encabezado Car"/>
    <w:link w:val="Encabezado"/>
    <w:uiPriority w:val="99"/>
    <w:rsid w:val="00D37A34"/>
    <w:rPr>
      <w:sz w:val="24"/>
      <w:szCs w:val="24"/>
    </w:rPr>
  </w:style>
  <w:style w:type="character" w:customStyle="1" w:styleId="Ninguno">
    <w:name w:val="Ninguno"/>
    <w:rsid w:val="00D37A34"/>
  </w:style>
  <w:style w:type="paragraph" w:customStyle="1" w:styleId="CuerpoA">
    <w:name w:val="Cuerpo A"/>
    <w:rsid w:val="00D37A34"/>
    <w:pPr>
      <w:pBdr>
        <w:top w:val="nil"/>
        <w:left w:val="nil"/>
        <w:bottom w:val="nil"/>
        <w:right w:val="nil"/>
        <w:between w:val="nil"/>
        <w:bar w:val="nil"/>
      </w:pBdr>
      <w:ind w:left="851"/>
    </w:pPr>
    <w:rPr>
      <w:rFonts w:ascii="Helvetica" w:eastAsia="Arial Unicode MS" w:hAnsi="Helvetica" w:cs="Arial Unicode MS"/>
      <w:color w:val="000000"/>
      <w:sz w:val="22"/>
      <w:szCs w:val="22"/>
      <w:u w:color="000000"/>
      <w:bdr w:val="nil"/>
      <w:lang w:val="es-ES_tradnl"/>
    </w:rPr>
  </w:style>
  <w:style w:type="character" w:styleId="Hipervnculo">
    <w:name w:val="Hyperlink"/>
    <w:uiPriority w:val="99"/>
    <w:rsid w:val="00D37A34"/>
    <w:rPr>
      <w:u w:val="single"/>
    </w:rPr>
  </w:style>
  <w:style w:type="table" w:customStyle="1" w:styleId="TableNormal0">
    <w:name w:val="Table Normal"/>
    <w:rsid w:val="00D37A34"/>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customStyle="1" w:styleId="PoromisinAA">
    <w:name w:val="Por omisión A A"/>
    <w:rsid w:val="00D37A34"/>
    <w:pPr>
      <w:pBdr>
        <w:top w:val="nil"/>
        <w:left w:val="nil"/>
        <w:bottom w:val="nil"/>
        <w:right w:val="nil"/>
        <w:between w:val="nil"/>
        <w:bar w:val="nil"/>
      </w:pBdr>
      <w:ind w:left="851"/>
    </w:pPr>
    <w:rPr>
      <w:rFonts w:ascii="Helvetica" w:eastAsia="Helvetica" w:hAnsi="Helvetica" w:cs="Helvetica"/>
      <w:color w:val="000000"/>
      <w:sz w:val="22"/>
      <w:szCs w:val="22"/>
      <w:u w:color="000000"/>
      <w:bdr w:val="nil"/>
      <w:lang w:val="es-ES_tradnl"/>
    </w:rPr>
  </w:style>
  <w:style w:type="paragraph" w:customStyle="1" w:styleId="CuerpoB">
    <w:name w:val="Cuerpo B"/>
    <w:rsid w:val="00D37A34"/>
    <w:pPr>
      <w:pBdr>
        <w:top w:val="nil"/>
        <w:left w:val="nil"/>
        <w:bottom w:val="nil"/>
        <w:right w:val="nil"/>
        <w:between w:val="nil"/>
        <w:bar w:val="nil"/>
      </w:pBdr>
      <w:ind w:left="851"/>
    </w:pPr>
    <w:rPr>
      <w:color w:val="000000"/>
      <w:u w:color="000000"/>
      <w:bdr w:val="nil"/>
      <w:lang w:val="es-ES_tradnl"/>
    </w:rPr>
  </w:style>
  <w:style w:type="numbering" w:customStyle="1" w:styleId="Estiloimportado2">
    <w:name w:val="Estilo importado 2"/>
    <w:rsid w:val="00D37A34"/>
  </w:style>
  <w:style w:type="paragraph" w:styleId="Prrafodelista">
    <w:name w:val="List Paragraph"/>
    <w:uiPriority w:val="34"/>
    <w:qFormat/>
    <w:rsid w:val="00D37A34"/>
    <w:pPr>
      <w:pBdr>
        <w:top w:val="nil"/>
        <w:left w:val="nil"/>
        <w:bottom w:val="nil"/>
        <w:right w:val="nil"/>
        <w:between w:val="nil"/>
        <w:bar w:val="nil"/>
      </w:pBdr>
      <w:ind w:left="720"/>
    </w:pPr>
    <w:rPr>
      <w:rFonts w:eastAsia="Arial Unicode MS" w:cs="Arial Unicode MS"/>
      <w:color w:val="000000"/>
      <w:u w:color="000000"/>
      <w:bdr w:val="nil"/>
      <w:lang w:val="en-US"/>
    </w:rPr>
  </w:style>
  <w:style w:type="paragraph" w:styleId="Textodeglobo">
    <w:name w:val="Balloon Text"/>
    <w:basedOn w:val="Normal"/>
    <w:link w:val="TextodegloboCar"/>
    <w:uiPriority w:val="99"/>
    <w:unhideWhenUsed/>
    <w:rsid w:val="00D37A34"/>
    <w:pPr>
      <w:pBdr>
        <w:top w:val="nil"/>
        <w:left w:val="nil"/>
        <w:bottom w:val="nil"/>
        <w:right w:val="nil"/>
        <w:between w:val="nil"/>
        <w:bar w:val="nil"/>
      </w:pBdr>
    </w:pPr>
    <w:rPr>
      <w:rFonts w:ascii="Tahoma" w:eastAsia="Arial Unicode MS" w:hAnsi="Tahoma" w:cs="Tahoma"/>
      <w:sz w:val="16"/>
      <w:szCs w:val="16"/>
      <w:bdr w:val="nil"/>
      <w:lang w:val="en-US" w:eastAsia="en-US"/>
    </w:rPr>
  </w:style>
  <w:style w:type="character" w:customStyle="1" w:styleId="TextodegloboCar">
    <w:name w:val="Texto de globo Car"/>
    <w:link w:val="Textodeglobo"/>
    <w:uiPriority w:val="99"/>
    <w:rsid w:val="00D37A34"/>
    <w:rPr>
      <w:rFonts w:ascii="Tahoma" w:eastAsia="Arial Unicode MS" w:hAnsi="Tahoma" w:cs="Tahoma"/>
      <w:sz w:val="16"/>
      <w:szCs w:val="16"/>
      <w:bdr w:val="nil"/>
      <w:lang w:val="en-US" w:eastAsia="en-US"/>
    </w:rPr>
  </w:style>
  <w:style w:type="paragraph" w:styleId="Revisin">
    <w:name w:val="Revision"/>
    <w:hidden/>
    <w:uiPriority w:val="99"/>
    <w:semiHidden/>
    <w:rsid w:val="00D37A34"/>
    <w:rPr>
      <w:rFonts w:eastAsia="Arial Unicode MS"/>
      <w:bdr w:val="nil"/>
      <w:lang w:val="en-US" w:eastAsia="en-US"/>
    </w:rPr>
  </w:style>
  <w:style w:type="character" w:styleId="Refdecomentario">
    <w:name w:val="annotation reference"/>
    <w:uiPriority w:val="99"/>
    <w:unhideWhenUsed/>
    <w:rsid w:val="00D37A34"/>
    <w:rPr>
      <w:sz w:val="16"/>
      <w:szCs w:val="16"/>
    </w:rPr>
  </w:style>
  <w:style w:type="paragraph" w:styleId="Textocomentario">
    <w:name w:val="annotation text"/>
    <w:basedOn w:val="Normal"/>
    <w:link w:val="TextocomentarioCar"/>
    <w:uiPriority w:val="99"/>
    <w:unhideWhenUsed/>
    <w:rsid w:val="00D37A34"/>
    <w:pPr>
      <w:pBdr>
        <w:top w:val="nil"/>
        <w:left w:val="nil"/>
        <w:bottom w:val="nil"/>
        <w:right w:val="nil"/>
        <w:between w:val="nil"/>
        <w:bar w:val="nil"/>
      </w:pBdr>
    </w:pPr>
    <w:rPr>
      <w:rFonts w:eastAsia="Arial Unicode MS"/>
      <w:sz w:val="20"/>
      <w:szCs w:val="20"/>
      <w:bdr w:val="nil"/>
      <w:lang w:val="en-US" w:eastAsia="en-US"/>
    </w:rPr>
  </w:style>
  <w:style w:type="character" w:customStyle="1" w:styleId="TextocomentarioCar">
    <w:name w:val="Texto comentario Car"/>
    <w:link w:val="Textocomentario"/>
    <w:uiPriority w:val="99"/>
    <w:rsid w:val="00D37A34"/>
    <w:rPr>
      <w:rFonts w:eastAsia="Arial Unicode MS"/>
      <w:bdr w:val="nil"/>
      <w:lang w:val="en-US" w:eastAsia="en-US"/>
    </w:rPr>
  </w:style>
  <w:style w:type="paragraph" w:styleId="Asuntodelcomentario">
    <w:name w:val="annotation subject"/>
    <w:basedOn w:val="Textocomentario"/>
    <w:next w:val="Textocomentario"/>
    <w:link w:val="AsuntodelcomentarioCar"/>
    <w:uiPriority w:val="99"/>
    <w:unhideWhenUsed/>
    <w:rsid w:val="00D37A34"/>
    <w:rPr>
      <w:b/>
      <w:bCs/>
    </w:rPr>
  </w:style>
  <w:style w:type="character" w:customStyle="1" w:styleId="AsuntodelcomentarioCar">
    <w:name w:val="Asunto del comentario Car"/>
    <w:link w:val="Asuntodelcomentario"/>
    <w:uiPriority w:val="99"/>
    <w:rsid w:val="00D37A34"/>
    <w:rPr>
      <w:rFonts w:eastAsia="Arial Unicode MS"/>
      <w:b/>
      <w:bCs/>
      <w:bdr w:val="nil"/>
      <w:lang w:val="en-US" w:eastAsia="en-US"/>
    </w:rPr>
  </w:style>
  <w:style w:type="paragraph" w:styleId="Sangra3detindependiente">
    <w:name w:val="Body Text Indent 3"/>
    <w:basedOn w:val="Normal"/>
    <w:link w:val="Sangra3detindependienteCar"/>
    <w:uiPriority w:val="99"/>
    <w:unhideWhenUsed/>
    <w:rsid w:val="00E83A77"/>
    <w:pPr>
      <w:pBdr>
        <w:top w:val="nil"/>
        <w:left w:val="nil"/>
        <w:bottom w:val="nil"/>
        <w:right w:val="nil"/>
        <w:between w:val="nil"/>
        <w:bar w:val="nil"/>
      </w:pBdr>
      <w:spacing w:after="120"/>
      <w:ind w:left="283"/>
    </w:pPr>
    <w:rPr>
      <w:rFonts w:eastAsia="Arial Unicode MS"/>
      <w:sz w:val="16"/>
      <w:szCs w:val="16"/>
      <w:bdr w:val="nil"/>
      <w:lang w:val="en-US" w:eastAsia="en-US"/>
    </w:rPr>
  </w:style>
  <w:style w:type="character" w:customStyle="1" w:styleId="Sangra3detindependienteCar">
    <w:name w:val="Sangría 3 de t. independiente Car"/>
    <w:link w:val="Sangra3detindependiente"/>
    <w:uiPriority w:val="99"/>
    <w:rsid w:val="00E83A77"/>
    <w:rPr>
      <w:rFonts w:eastAsia="Arial Unicode MS"/>
      <w:sz w:val="16"/>
      <w:szCs w:val="16"/>
      <w:bdr w:val="nil"/>
      <w:lang w:val="en-US" w:eastAsia="en-US"/>
    </w:rPr>
  </w:style>
  <w:style w:type="character" w:customStyle="1" w:styleId="Ttulo2Car">
    <w:name w:val="Título 2 Car"/>
    <w:link w:val="Ttulo2"/>
    <w:uiPriority w:val="9"/>
    <w:rsid w:val="00911C09"/>
    <w:rPr>
      <w:rFonts w:ascii="Verdana" w:hAnsi="Verdana"/>
      <w:color w:val="333333"/>
      <w:sz w:val="19"/>
      <w:szCs w:val="19"/>
      <w:shd w:val="clear" w:color="auto" w:fill="FFFFFF"/>
    </w:rPr>
  </w:style>
  <w:style w:type="character" w:customStyle="1" w:styleId="Ttulo3Car">
    <w:name w:val="Título 3 Car"/>
    <w:link w:val="Ttulo3"/>
    <w:uiPriority w:val="9"/>
    <w:rsid w:val="00911C09"/>
    <w:rPr>
      <w:rFonts w:ascii="Verdana" w:hAnsi="Verdana"/>
      <w:b/>
      <w:i/>
      <w:iCs/>
      <w:color w:val="333333"/>
      <w:sz w:val="19"/>
      <w:szCs w:val="19"/>
      <w:shd w:val="clear" w:color="auto" w:fill="FFFFFF"/>
    </w:rPr>
  </w:style>
  <w:style w:type="character" w:customStyle="1" w:styleId="Ttulo4Car">
    <w:name w:val="Título 4 Car"/>
    <w:link w:val="Ttulo4"/>
    <w:uiPriority w:val="9"/>
    <w:rsid w:val="00911C09"/>
    <w:rPr>
      <w:rFonts w:ascii="Verdana" w:hAnsi="Verdana"/>
      <w:b/>
      <w:bCs/>
      <w:color w:val="333333"/>
      <w:sz w:val="19"/>
      <w:szCs w:val="19"/>
      <w:shd w:val="clear" w:color="auto" w:fill="FFFFFF"/>
    </w:rPr>
  </w:style>
  <w:style w:type="character" w:customStyle="1" w:styleId="Ttulo5Car">
    <w:name w:val="Título 5 Car"/>
    <w:link w:val="Ttulo5"/>
    <w:uiPriority w:val="9"/>
    <w:rsid w:val="00911C09"/>
    <w:rPr>
      <w:rFonts w:ascii="Cambria" w:hAnsi="Cambria"/>
      <w:color w:val="243F60"/>
      <w:sz w:val="19"/>
      <w:szCs w:val="19"/>
      <w:shd w:val="clear" w:color="auto" w:fill="FFFFFF"/>
    </w:rPr>
  </w:style>
  <w:style w:type="numbering" w:customStyle="1" w:styleId="Sinlista1">
    <w:name w:val="Sin lista1"/>
    <w:next w:val="Sinlista"/>
    <w:uiPriority w:val="99"/>
    <w:semiHidden/>
    <w:unhideWhenUsed/>
    <w:rsid w:val="00911C09"/>
  </w:style>
  <w:style w:type="character" w:customStyle="1" w:styleId="Ttulo1Car">
    <w:name w:val="Título 1 Car"/>
    <w:link w:val="Ttulo1"/>
    <w:uiPriority w:val="9"/>
    <w:rsid w:val="00911C09"/>
    <w:rPr>
      <w:sz w:val="40"/>
      <w:szCs w:val="24"/>
    </w:rPr>
  </w:style>
  <w:style w:type="numbering" w:customStyle="1" w:styleId="Sinlista11">
    <w:name w:val="Sin lista11"/>
    <w:next w:val="Sinlista"/>
    <w:uiPriority w:val="99"/>
    <w:semiHidden/>
    <w:unhideWhenUsed/>
    <w:rsid w:val="00911C09"/>
  </w:style>
  <w:style w:type="paragraph" w:customStyle="1" w:styleId="anexo">
    <w:name w:val="anexo"/>
    <w:basedOn w:val="Normal"/>
    <w:rsid w:val="00911C09"/>
    <w:pPr>
      <w:shd w:val="clear" w:color="auto" w:fill="FFFFFF"/>
      <w:spacing w:before="100" w:beforeAutospacing="1" w:after="100" w:afterAutospacing="1"/>
      <w:ind w:firstLine="360"/>
      <w:jc w:val="both"/>
    </w:pPr>
    <w:rPr>
      <w:color w:val="333333"/>
    </w:rPr>
  </w:style>
  <w:style w:type="paragraph" w:customStyle="1" w:styleId="titulonum">
    <w:name w:val="titulo_num"/>
    <w:basedOn w:val="Normal"/>
    <w:rsid w:val="00911C09"/>
    <w:pPr>
      <w:shd w:val="clear" w:color="auto" w:fill="FFFFFF"/>
      <w:spacing w:before="100" w:beforeAutospacing="1" w:after="100" w:afterAutospacing="1"/>
      <w:ind w:firstLine="360"/>
      <w:jc w:val="both"/>
    </w:pPr>
    <w:rPr>
      <w:color w:val="333333"/>
    </w:rPr>
  </w:style>
  <w:style w:type="paragraph" w:customStyle="1" w:styleId="titulotit">
    <w:name w:val="titulo_tit"/>
    <w:basedOn w:val="Normal"/>
    <w:rsid w:val="00911C09"/>
    <w:pPr>
      <w:shd w:val="clear" w:color="auto" w:fill="FFFFFF"/>
      <w:spacing w:before="100" w:beforeAutospacing="1" w:after="100" w:afterAutospacing="1"/>
      <w:ind w:firstLine="360"/>
      <w:jc w:val="both"/>
    </w:pPr>
    <w:rPr>
      <w:color w:val="333333"/>
    </w:rPr>
  </w:style>
  <w:style w:type="paragraph" w:customStyle="1" w:styleId="capitulonum">
    <w:name w:val="capitulo_num"/>
    <w:basedOn w:val="Normal"/>
    <w:rsid w:val="00911C09"/>
    <w:pPr>
      <w:shd w:val="clear" w:color="auto" w:fill="FFFFFF"/>
      <w:spacing w:before="100" w:beforeAutospacing="1" w:after="100" w:afterAutospacing="1"/>
      <w:ind w:firstLine="360"/>
      <w:jc w:val="both"/>
    </w:pPr>
    <w:rPr>
      <w:color w:val="333333"/>
    </w:rPr>
  </w:style>
  <w:style w:type="paragraph" w:customStyle="1" w:styleId="capitulotit">
    <w:name w:val="capitulo_tit"/>
    <w:basedOn w:val="Normal"/>
    <w:rsid w:val="00911C09"/>
    <w:pPr>
      <w:shd w:val="clear" w:color="auto" w:fill="FFFFFF"/>
      <w:spacing w:before="100" w:beforeAutospacing="1" w:after="100" w:afterAutospacing="1"/>
      <w:ind w:firstLine="360"/>
      <w:jc w:val="both"/>
    </w:pPr>
    <w:rPr>
      <w:color w:val="333333"/>
    </w:rPr>
  </w:style>
  <w:style w:type="paragraph" w:customStyle="1" w:styleId="articulo">
    <w:name w:val="articulo"/>
    <w:basedOn w:val="Normal"/>
    <w:rsid w:val="00911C09"/>
    <w:pPr>
      <w:shd w:val="clear" w:color="auto" w:fill="FFFFFF"/>
      <w:spacing w:before="100" w:beforeAutospacing="1" w:after="100" w:afterAutospacing="1"/>
      <w:ind w:firstLine="360"/>
      <w:jc w:val="both"/>
    </w:pPr>
    <w:rPr>
      <w:color w:val="333333"/>
    </w:rPr>
  </w:style>
  <w:style w:type="paragraph" w:customStyle="1" w:styleId="parrafo">
    <w:name w:val="parrafo"/>
    <w:basedOn w:val="Normal"/>
    <w:rsid w:val="00911C09"/>
    <w:pPr>
      <w:shd w:val="clear" w:color="auto" w:fill="FFFFFF"/>
      <w:spacing w:before="100" w:beforeAutospacing="1" w:after="100" w:afterAutospacing="1"/>
      <w:ind w:firstLine="360"/>
      <w:jc w:val="both"/>
    </w:pPr>
    <w:rPr>
      <w:color w:val="333333"/>
    </w:rPr>
  </w:style>
  <w:style w:type="paragraph" w:customStyle="1" w:styleId="parrafo2">
    <w:name w:val="parrafo_2"/>
    <w:basedOn w:val="Normal"/>
    <w:rsid w:val="00911C09"/>
    <w:pPr>
      <w:shd w:val="clear" w:color="auto" w:fill="FFFFFF"/>
      <w:spacing w:before="100" w:beforeAutospacing="1" w:after="100" w:afterAutospacing="1"/>
      <w:ind w:firstLine="360"/>
      <w:jc w:val="both"/>
    </w:pPr>
    <w:rPr>
      <w:color w:val="333333"/>
    </w:rPr>
  </w:style>
  <w:style w:type="character" w:styleId="nfasis">
    <w:name w:val="Emphasis"/>
    <w:uiPriority w:val="20"/>
    <w:qFormat/>
    <w:rsid w:val="00911C09"/>
    <w:rPr>
      <w:i/>
      <w:iCs/>
    </w:rPr>
  </w:style>
  <w:style w:type="paragraph" w:customStyle="1" w:styleId="notapie">
    <w:name w:val="nota_pie"/>
    <w:basedOn w:val="Normal"/>
    <w:rsid w:val="00911C09"/>
    <w:pPr>
      <w:shd w:val="clear" w:color="auto" w:fill="FFFFFF"/>
      <w:spacing w:before="100" w:beforeAutospacing="1" w:after="100" w:afterAutospacing="1"/>
      <w:ind w:firstLine="360"/>
      <w:jc w:val="both"/>
    </w:pPr>
    <w:rPr>
      <w:color w:val="333333"/>
    </w:rPr>
  </w:style>
  <w:style w:type="character" w:customStyle="1" w:styleId="apple-converted-space">
    <w:name w:val="apple-converted-space"/>
    <w:rsid w:val="00911C09"/>
  </w:style>
  <w:style w:type="character" w:styleId="Hipervnculovisitado">
    <w:name w:val="FollowedHyperlink"/>
    <w:uiPriority w:val="99"/>
    <w:unhideWhenUsed/>
    <w:rsid w:val="00911C09"/>
    <w:rPr>
      <w:color w:val="800080"/>
      <w:u w:val="single"/>
    </w:rPr>
  </w:style>
  <w:style w:type="paragraph" w:customStyle="1" w:styleId="seccion">
    <w:name w:val="seccion"/>
    <w:basedOn w:val="Normal"/>
    <w:rsid w:val="00911C09"/>
    <w:pPr>
      <w:shd w:val="clear" w:color="auto" w:fill="FFFFFF"/>
      <w:spacing w:before="100" w:beforeAutospacing="1" w:after="100" w:afterAutospacing="1"/>
      <w:ind w:firstLine="360"/>
      <w:jc w:val="both"/>
    </w:pPr>
    <w:rPr>
      <w:color w:val="333333"/>
    </w:rPr>
  </w:style>
  <w:style w:type="paragraph" w:styleId="NormalWeb">
    <w:name w:val="Normal (Web)"/>
    <w:basedOn w:val="Normal"/>
    <w:uiPriority w:val="99"/>
    <w:unhideWhenUsed/>
    <w:rsid w:val="00911C09"/>
    <w:pPr>
      <w:shd w:val="clear" w:color="auto" w:fill="FFFFFF"/>
      <w:spacing w:before="180" w:after="180"/>
      <w:ind w:firstLine="360"/>
      <w:jc w:val="both"/>
    </w:pPr>
    <w:rPr>
      <w:color w:val="333333"/>
    </w:rPr>
  </w:style>
  <w:style w:type="paragraph" w:customStyle="1" w:styleId="Normal1">
    <w:name w:val="Normal1"/>
    <w:basedOn w:val="Normal"/>
    <w:rsid w:val="00911C09"/>
    <w:pPr>
      <w:shd w:val="clear" w:color="auto" w:fill="FFFFFF"/>
      <w:spacing w:before="100" w:beforeAutospacing="1" w:after="100" w:afterAutospacing="1"/>
      <w:ind w:firstLine="360"/>
      <w:jc w:val="both"/>
    </w:pPr>
    <w:rPr>
      <w:color w:val="333333"/>
    </w:rPr>
  </w:style>
  <w:style w:type="paragraph" w:styleId="TtuloTDC">
    <w:name w:val="TOC Heading"/>
    <w:basedOn w:val="Ttulo1"/>
    <w:next w:val="Normal"/>
    <w:uiPriority w:val="39"/>
    <w:unhideWhenUsed/>
    <w:qFormat/>
    <w:rsid w:val="00911C09"/>
    <w:pPr>
      <w:keepNext w:val="0"/>
      <w:shd w:val="clear" w:color="auto" w:fill="FFFFFF"/>
      <w:spacing w:before="360"/>
      <w:ind w:left="960" w:right="960" w:firstLine="360"/>
      <w:jc w:val="center"/>
      <w:outlineLvl w:val="9"/>
    </w:pPr>
    <w:rPr>
      <w:rFonts w:ascii="Verdana" w:hAnsi="Verdana"/>
      <w:color w:val="333333"/>
      <w:sz w:val="19"/>
      <w:szCs w:val="19"/>
    </w:rPr>
  </w:style>
  <w:style w:type="paragraph" w:styleId="TDC1">
    <w:name w:val="toc 1"/>
    <w:basedOn w:val="Normal"/>
    <w:next w:val="Normal"/>
    <w:autoRedefine/>
    <w:uiPriority w:val="39"/>
    <w:unhideWhenUsed/>
    <w:qFormat/>
    <w:rsid w:val="00911C09"/>
    <w:pPr>
      <w:shd w:val="clear" w:color="auto" w:fill="FFFFFF"/>
      <w:spacing w:before="180" w:after="100"/>
      <w:ind w:firstLine="360"/>
      <w:jc w:val="both"/>
    </w:pPr>
    <w:rPr>
      <w:rFonts w:ascii="Verdana" w:hAnsi="Verdana"/>
      <w:color w:val="333333"/>
      <w:sz w:val="19"/>
      <w:szCs w:val="19"/>
    </w:rPr>
  </w:style>
  <w:style w:type="paragraph" w:styleId="TDC2">
    <w:name w:val="toc 2"/>
    <w:basedOn w:val="Normal"/>
    <w:next w:val="Normal"/>
    <w:autoRedefine/>
    <w:uiPriority w:val="39"/>
    <w:unhideWhenUsed/>
    <w:qFormat/>
    <w:rsid w:val="00911C09"/>
    <w:pPr>
      <w:shd w:val="clear" w:color="auto" w:fill="FFFFFF"/>
      <w:spacing w:before="180" w:after="100"/>
      <w:ind w:left="220" w:firstLine="360"/>
      <w:jc w:val="both"/>
    </w:pPr>
    <w:rPr>
      <w:rFonts w:ascii="Verdana" w:hAnsi="Verdana"/>
      <w:color w:val="333333"/>
      <w:sz w:val="19"/>
      <w:szCs w:val="19"/>
    </w:rPr>
  </w:style>
  <w:style w:type="paragraph" w:styleId="TDC3">
    <w:name w:val="toc 3"/>
    <w:basedOn w:val="Normal"/>
    <w:next w:val="Normal"/>
    <w:autoRedefine/>
    <w:uiPriority w:val="39"/>
    <w:unhideWhenUsed/>
    <w:qFormat/>
    <w:rsid w:val="00911C09"/>
    <w:pPr>
      <w:shd w:val="clear" w:color="auto" w:fill="FFFFFF"/>
      <w:spacing w:before="180" w:after="100"/>
      <w:ind w:left="440" w:firstLine="360"/>
      <w:jc w:val="both"/>
    </w:pPr>
    <w:rPr>
      <w:rFonts w:ascii="Calibri" w:hAnsi="Calibri"/>
      <w:color w:val="333333"/>
      <w:sz w:val="19"/>
      <w:szCs w:val="19"/>
    </w:rPr>
  </w:style>
  <w:style w:type="paragraph" w:customStyle="1" w:styleId="Estilo1centro">
    <w:name w:val="Estilo1 centro"/>
    <w:basedOn w:val="Normal"/>
    <w:link w:val="Estilo1centroCar"/>
    <w:rsid w:val="00911C09"/>
    <w:pPr>
      <w:shd w:val="clear" w:color="auto" w:fill="FFFFFF"/>
      <w:spacing w:before="360"/>
      <w:ind w:left="960" w:right="960" w:firstLine="360"/>
      <w:jc w:val="center"/>
    </w:pPr>
    <w:rPr>
      <w:rFonts w:ascii="Verdana" w:hAnsi="Verdana"/>
      <w:color w:val="333333"/>
      <w:sz w:val="19"/>
      <w:szCs w:val="19"/>
    </w:rPr>
  </w:style>
  <w:style w:type="paragraph" w:customStyle="1" w:styleId="Estilo2centro">
    <w:name w:val="Estilo2 centro"/>
    <w:basedOn w:val="Estilo1centro"/>
    <w:link w:val="Estilo2centroCar"/>
    <w:rsid w:val="00911C09"/>
  </w:style>
  <w:style w:type="character" w:customStyle="1" w:styleId="Estilo1centroCar">
    <w:name w:val="Estilo1 centro Car"/>
    <w:link w:val="Estilo1centro"/>
    <w:rsid w:val="00911C09"/>
    <w:rPr>
      <w:rFonts w:ascii="Verdana" w:hAnsi="Verdana"/>
      <w:color w:val="333333"/>
      <w:sz w:val="19"/>
      <w:szCs w:val="19"/>
      <w:shd w:val="clear" w:color="auto" w:fill="FFFFFF"/>
    </w:rPr>
  </w:style>
  <w:style w:type="paragraph" w:styleId="TDC4">
    <w:name w:val="toc 4"/>
    <w:basedOn w:val="Normal"/>
    <w:next w:val="Normal"/>
    <w:autoRedefine/>
    <w:uiPriority w:val="39"/>
    <w:unhideWhenUsed/>
    <w:rsid w:val="00911C09"/>
    <w:pPr>
      <w:shd w:val="clear" w:color="auto" w:fill="FFFFFF"/>
      <w:spacing w:before="180" w:after="100"/>
      <w:ind w:left="660" w:firstLine="360"/>
      <w:jc w:val="both"/>
    </w:pPr>
    <w:rPr>
      <w:rFonts w:ascii="Calibri" w:hAnsi="Calibri"/>
      <w:color w:val="333333"/>
      <w:sz w:val="19"/>
      <w:szCs w:val="19"/>
    </w:rPr>
  </w:style>
  <w:style w:type="character" w:customStyle="1" w:styleId="Estilo2centroCar">
    <w:name w:val="Estilo2 centro Car"/>
    <w:link w:val="Estilo2centro"/>
    <w:rsid w:val="00911C09"/>
    <w:rPr>
      <w:rFonts w:ascii="Verdana" w:hAnsi="Verdana"/>
      <w:color w:val="333333"/>
      <w:sz w:val="19"/>
      <w:szCs w:val="19"/>
      <w:shd w:val="clear" w:color="auto" w:fill="FFFFFF"/>
    </w:rPr>
  </w:style>
  <w:style w:type="paragraph" w:styleId="TDC5">
    <w:name w:val="toc 5"/>
    <w:basedOn w:val="Normal"/>
    <w:next w:val="Normal"/>
    <w:autoRedefine/>
    <w:uiPriority w:val="39"/>
    <w:unhideWhenUsed/>
    <w:rsid w:val="00911C09"/>
    <w:pPr>
      <w:shd w:val="clear" w:color="auto" w:fill="FFFFFF"/>
      <w:spacing w:before="180" w:after="100"/>
      <w:ind w:left="880" w:firstLine="360"/>
      <w:jc w:val="both"/>
    </w:pPr>
    <w:rPr>
      <w:rFonts w:ascii="Calibri" w:hAnsi="Calibri"/>
      <w:color w:val="333333"/>
      <w:sz w:val="19"/>
      <w:szCs w:val="19"/>
    </w:rPr>
  </w:style>
  <w:style w:type="paragraph" w:styleId="TDC6">
    <w:name w:val="toc 6"/>
    <w:basedOn w:val="Normal"/>
    <w:next w:val="Normal"/>
    <w:autoRedefine/>
    <w:uiPriority w:val="39"/>
    <w:unhideWhenUsed/>
    <w:rsid w:val="00911C09"/>
    <w:pPr>
      <w:shd w:val="clear" w:color="auto" w:fill="FFFFFF"/>
      <w:spacing w:before="180" w:after="100"/>
      <w:ind w:left="1100" w:firstLine="360"/>
      <w:jc w:val="both"/>
    </w:pPr>
    <w:rPr>
      <w:rFonts w:ascii="Calibri" w:hAnsi="Calibri"/>
      <w:color w:val="333333"/>
      <w:sz w:val="19"/>
      <w:szCs w:val="19"/>
    </w:rPr>
  </w:style>
  <w:style w:type="paragraph" w:styleId="TDC7">
    <w:name w:val="toc 7"/>
    <w:basedOn w:val="Normal"/>
    <w:next w:val="Normal"/>
    <w:autoRedefine/>
    <w:uiPriority w:val="39"/>
    <w:unhideWhenUsed/>
    <w:rsid w:val="00911C09"/>
    <w:pPr>
      <w:shd w:val="clear" w:color="auto" w:fill="FFFFFF"/>
      <w:spacing w:before="180" w:after="100"/>
      <w:ind w:left="1320" w:firstLine="360"/>
      <w:jc w:val="both"/>
    </w:pPr>
    <w:rPr>
      <w:rFonts w:ascii="Calibri" w:hAnsi="Calibri"/>
      <w:color w:val="333333"/>
      <w:sz w:val="19"/>
      <w:szCs w:val="19"/>
    </w:rPr>
  </w:style>
  <w:style w:type="paragraph" w:styleId="TDC8">
    <w:name w:val="toc 8"/>
    <w:basedOn w:val="Normal"/>
    <w:next w:val="Normal"/>
    <w:autoRedefine/>
    <w:uiPriority w:val="39"/>
    <w:unhideWhenUsed/>
    <w:rsid w:val="00911C09"/>
    <w:pPr>
      <w:shd w:val="clear" w:color="auto" w:fill="FFFFFF"/>
      <w:spacing w:before="180" w:after="100"/>
      <w:ind w:left="1540" w:firstLine="360"/>
      <w:jc w:val="both"/>
    </w:pPr>
    <w:rPr>
      <w:rFonts w:ascii="Calibri" w:hAnsi="Calibri"/>
      <w:color w:val="333333"/>
      <w:sz w:val="19"/>
      <w:szCs w:val="19"/>
    </w:rPr>
  </w:style>
  <w:style w:type="paragraph" w:styleId="TDC9">
    <w:name w:val="toc 9"/>
    <w:basedOn w:val="Normal"/>
    <w:next w:val="Normal"/>
    <w:autoRedefine/>
    <w:uiPriority w:val="39"/>
    <w:unhideWhenUsed/>
    <w:rsid w:val="00911C09"/>
    <w:pPr>
      <w:shd w:val="clear" w:color="auto" w:fill="FFFFFF"/>
      <w:spacing w:before="180" w:after="100"/>
      <w:ind w:left="1760" w:firstLine="360"/>
      <w:jc w:val="both"/>
    </w:pPr>
    <w:rPr>
      <w:rFonts w:ascii="Calibri" w:hAnsi="Calibri"/>
      <w:color w:val="333333"/>
      <w:sz w:val="19"/>
      <w:szCs w:val="19"/>
    </w:rPr>
  </w:style>
  <w:style w:type="character" w:customStyle="1" w:styleId="PiedepginaCar">
    <w:name w:val="Pie de página Car"/>
    <w:link w:val="Piedepgina"/>
    <w:uiPriority w:val="99"/>
    <w:rsid w:val="00911C09"/>
    <w:rPr>
      <w:sz w:val="24"/>
      <w:szCs w:val="24"/>
    </w:rPr>
  </w:style>
  <w:style w:type="character" w:styleId="Textodelmarcadordeposicin">
    <w:name w:val="Placeholder Text"/>
    <w:uiPriority w:val="99"/>
    <w:semiHidden/>
    <w:rsid w:val="00911C09"/>
    <w:rPr>
      <w:color w:val="808080"/>
    </w:rPr>
  </w:style>
  <w:style w:type="character" w:styleId="Refdenotaalpie">
    <w:name w:val="footnote reference"/>
    <w:uiPriority w:val="99"/>
    <w:unhideWhenUsed/>
    <w:rsid w:val="00911C09"/>
    <w:rPr>
      <w:vertAlign w:val="superscript"/>
    </w:rPr>
  </w:style>
  <w:style w:type="numbering" w:customStyle="1" w:styleId="Sinlista2">
    <w:name w:val="Sin lista2"/>
    <w:next w:val="Sinlista"/>
    <w:uiPriority w:val="99"/>
    <w:semiHidden/>
    <w:unhideWhenUsed/>
    <w:rsid w:val="00911C09"/>
  </w:style>
  <w:style w:type="numbering" w:customStyle="1" w:styleId="Sinlista111">
    <w:name w:val="Sin lista111"/>
    <w:next w:val="Sinlista"/>
    <w:uiPriority w:val="99"/>
    <w:semiHidden/>
    <w:unhideWhenUsed/>
    <w:rsid w:val="00911C09"/>
  </w:style>
  <w:style w:type="paragraph" w:customStyle="1" w:styleId="CM1">
    <w:name w:val="CM1"/>
    <w:basedOn w:val="Normal"/>
    <w:next w:val="Normal"/>
    <w:uiPriority w:val="99"/>
    <w:rsid w:val="00911C09"/>
    <w:pPr>
      <w:autoSpaceDE w:val="0"/>
      <w:autoSpaceDN w:val="0"/>
      <w:adjustRightInd w:val="0"/>
    </w:pPr>
    <w:rPr>
      <w:rFonts w:eastAsia="Calibri"/>
    </w:rPr>
  </w:style>
  <w:style w:type="paragraph" w:customStyle="1" w:styleId="CM3">
    <w:name w:val="CM3"/>
    <w:basedOn w:val="Normal"/>
    <w:next w:val="Normal"/>
    <w:uiPriority w:val="99"/>
    <w:rsid w:val="00911C09"/>
    <w:pPr>
      <w:autoSpaceDE w:val="0"/>
      <w:autoSpaceDN w:val="0"/>
      <w:adjustRightInd w:val="0"/>
    </w:pPr>
    <w:rPr>
      <w:rFonts w:eastAsia="Calibri"/>
    </w:rPr>
  </w:style>
  <w:style w:type="paragraph" w:customStyle="1" w:styleId="1TtulodeInformeinternoCNMV">
    <w:name w:val="1. Título de Informe interno CNMV"/>
    <w:basedOn w:val="Normal"/>
    <w:rsid w:val="00911C09"/>
    <w:pPr>
      <w:framePr w:w="8187" w:h="1423" w:hRule="exact" w:wrap="around" w:vAnchor="page" w:hAnchor="page" w:x="2666" w:y="1702"/>
      <w:pBdr>
        <w:top w:val="single" w:sz="4" w:space="4" w:color="auto"/>
        <w:left w:val="single" w:sz="4" w:space="4" w:color="auto"/>
        <w:bottom w:val="single" w:sz="4" w:space="4" w:color="auto"/>
        <w:right w:val="single" w:sz="4" w:space="4" w:color="auto"/>
      </w:pBdr>
      <w:suppressAutoHyphens/>
      <w:autoSpaceDE w:val="0"/>
      <w:autoSpaceDN w:val="0"/>
      <w:adjustRightInd w:val="0"/>
      <w:spacing w:line="440" w:lineRule="exact"/>
      <w:textAlignment w:val="baseline"/>
    </w:pPr>
    <w:rPr>
      <w:rFonts w:ascii="Myriad Pro Light" w:hAnsi="Myriad Pro Light" w:cs="MyriadPro-Semibold"/>
      <w:b/>
      <w:spacing w:val="7"/>
      <w:sz w:val="36"/>
      <w:szCs w:val="36"/>
      <w:lang w:val="es-ES_tradnl"/>
    </w:rPr>
  </w:style>
  <w:style w:type="paragraph" w:customStyle="1" w:styleId="41TextobaseCNMV">
    <w:name w:val="4.1. Texto base CNMV"/>
    <w:link w:val="41TextobaseCNMVCarCar"/>
    <w:autoRedefine/>
    <w:rsid w:val="00911C09"/>
    <w:pPr>
      <w:spacing w:before="160" w:line="280" w:lineRule="exact"/>
      <w:jc w:val="both"/>
    </w:pPr>
    <w:rPr>
      <w:rFonts w:ascii="Celeste-Regular" w:hAnsi="Celeste-Regular"/>
      <w:sz w:val="22"/>
    </w:rPr>
  </w:style>
  <w:style w:type="character" w:customStyle="1" w:styleId="41TextobaseCNMVCarCar">
    <w:name w:val="4.1. Texto base CNMV Car Car"/>
    <w:link w:val="41TextobaseCNMV"/>
    <w:rsid w:val="00911C09"/>
    <w:rPr>
      <w:rFonts w:ascii="Celeste-Regular" w:hAnsi="Celeste-Regular"/>
      <w:sz w:val="22"/>
    </w:rPr>
  </w:style>
  <w:style w:type="character" w:customStyle="1" w:styleId="SangradetextonormalCar">
    <w:name w:val="Sangría de texto normal Car"/>
    <w:uiPriority w:val="99"/>
    <w:semiHidden/>
    <w:rsid w:val="00911C09"/>
    <w:rPr>
      <w:rFonts w:eastAsia="PMingLiU"/>
      <w:sz w:val="22"/>
      <w:szCs w:val="22"/>
      <w:lang w:val="en-US" w:eastAsia="en-US"/>
    </w:rPr>
  </w:style>
  <w:style w:type="paragraph" w:styleId="Textoindependienteprimerasangra2">
    <w:name w:val="Body Text First Indent 2"/>
    <w:basedOn w:val="Sangradetextonormal"/>
    <w:link w:val="Textoindependienteprimerasangra2Car"/>
    <w:uiPriority w:val="99"/>
    <w:unhideWhenUsed/>
    <w:rsid w:val="00911C09"/>
    <w:pPr>
      <w:spacing w:before="0"/>
      <w:ind w:left="360" w:firstLine="360"/>
      <w:jc w:val="left"/>
    </w:pPr>
    <w:rPr>
      <w:rFonts w:ascii="Times New Roman" w:eastAsia="PMingLiU" w:hAnsi="Times New Roman"/>
      <w:sz w:val="22"/>
      <w:szCs w:val="22"/>
      <w:lang w:val="en-US" w:eastAsia="en-US"/>
    </w:rPr>
  </w:style>
  <w:style w:type="character" w:customStyle="1" w:styleId="SangradetextonormalCar1">
    <w:name w:val="Sangría de texto normal Car1"/>
    <w:link w:val="Sangradetextonormal"/>
    <w:uiPriority w:val="99"/>
    <w:rsid w:val="00911C09"/>
    <w:rPr>
      <w:rFonts w:ascii="Gill Sans MT" w:hAnsi="Gill Sans MT"/>
      <w:sz w:val="16"/>
    </w:rPr>
  </w:style>
  <w:style w:type="character" w:customStyle="1" w:styleId="Textoindependienteprimerasangra2Car">
    <w:name w:val="Texto independiente primera sangría 2 Car"/>
    <w:link w:val="Textoindependienteprimerasangra2"/>
    <w:uiPriority w:val="99"/>
    <w:rsid w:val="00911C09"/>
    <w:rPr>
      <w:rFonts w:ascii="Gill Sans MT" w:eastAsia="PMingLiU" w:hAnsi="Gill Sans MT"/>
      <w:sz w:val="22"/>
      <w:szCs w:val="22"/>
      <w:lang w:val="en-US" w:eastAsia="en-US"/>
    </w:rPr>
  </w:style>
  <w:style w:type="paragraph" w:customStyle="1" w:styleId="42ListadobaseCNMV">
    <w:name w:val="4.2. Listado base CNMV"/>
    <w:basedOn w:val="Normal"/>
    <w:rsid w:val="00911C09"/>
    <w:pPr>
      <w:numPr>
        <w:numId w:val="2"/>
      </w:numPr>
      <w:spacing w:before="160" w:line="280" w:lineRule="exact"/>
      <w:jc w:val="both"/>
    </w:pPr>
    <w:rPr>
      <w:rFonts w:ascii="Celeste-Regular" w:hAnsi="Celeste-Regular"/>
      <w:sz w:val="22"/>
      <w:szCs w:val="20"/>
    </w:rPr>
  </w:style>
  <w:style w:type="paragraph" w:customStyle="1" w:styleId="articulo1">
    <w:name w:val="articulo1"/>
    <w:basedOn w:val="Normal"/>
    <w:rsid w:val="00911C09"/>
    <w:pPr>
      <w:spacing w:before="360" w:after="180"/>
      <w:jc w:val="both"/>
    </w:pPr>
    <w:rPr>
      <w:b/>
      <w:bCs/>
    </w:rPr>
  </w:style>
  <w:style w:type="paragraph" w:customStyle="1" w:styleId="parrafo1">
    <w:name w:val="parrafo1"/>
    <w:basedOn w:val="Normal"/>
    <w:rsid w:val="00911C09"/>
    <w:pPr>
      <w:spacing w:before="180" w:after="180"/>
      <w:ind w:firstLine="360"/>
      <w:jc w:val="both"/>
    </w:pPr>
  </w:style>
  <w:style w:type="paragraph" w:customStyle="1" w:styleId="Default">
    <w:name w:val="Default"/>
    <w:rsid w:val="00911C09"/>
    <w:pPr>
      <w:autoSpaceDE w:val="0"/>
      <w:autoSpaceDN w:val="0"/>
      <w:adjustRightInd w:val="0"/>
    </w:pPr>
    <w:rPr>
      <w:rFonts w:ascii="EUAlbertina" w:eastAsia="PMingLiU" w:hAnsi="EUAlbertina" w:cs="EUAlbertina"/>
      <w:color w:val="000000"/>
      <w:lang w:eastAsia="en-US"/>
    </w:rPr>
  </w:style>
  <w:style w:type="paragraph" w:customStyle="1" w:styleId="CM4">
    <w:name w:val="CM4"/>
    <w:basedOn w:val="Default"/>
    <w:next w:val="Default"/>
    <w:uiPriority w:val="99"/>
    <w:rsid w:val="00911C09"/>
    <w:rPr>
      <w:rFonts w:ascii="Times New Roman" w:eastAsia="Times New Roman" w:hAnsi="Times New Roman" w:cs="Times New Roman"/>
      <w:color w:val="auto"/>
      <w:lang w:eastAsia="es-ES_tradnl"/>
    </w:rPr>
  </w:style>
  <w:style w:type="paragraph" w:customStyle="1" w:styleId="Normal2">
    <w:name w:val="Normal2"/>
    <w:basedOn w:val="Normal"/>
    <w:rsid w:val="00911C09"/>
    <w:pPr>
      <w:spacing w:before="100" w:beforeAutospacing="1" w:after="100" w:afterAutospacing="1"/>
    </w:pPr>
  </w:style>
  <w:style w:type="numbering" w:customStyle="1" w:styleId="Estiloimportado9">
    <w:name w:val="Estilo importado 9"/>
    <w:rsid w:val="00911C09"/>
  </w:style>
  <w:style w:type="numbering" w:customStyle="1" w:styleId="Estiloimportado13">
    <w:name w:val="Estilo importado 13"/>
    <w:rsid w:val="00911C09"/>
  </w:style>
  <w:style w:type="numbering" w:customStyle="1" w:styleId="Estiloimportado14">
    <w:name w:val="Estilo importado 14"/>
    <w:rsid w:val="00911C09"/>
  </w:style>
  <w:style w:type="paragraph" w:customStyle="1" w:styleId="Pa7">
    <w:name w:val="Pa7"/>
    <w:basedOn w:val="Default"/>
    <w:next w:val="Default"/>
    <w:uiPriority w:val="99"/>
    <w:rsid w:val="00C32A3E"/>
    <w:pPr>
      <w:spacing w:line="201" w:lineRule="atLeast"/>
    </w:pPr>
    <w:rPr>
      <w:rFonts w:ascii="Arial" w:eastAsiaTheme="minorHAnsi" w:hAnsi="Arial" w:cs="Arial"/>
      <w:color w:val="auto"/>
    </w:rPr>
  </w:style>
  <w:style w:type="paragraph" w:customStyle="1" w:styleId="Pa6">
    <w:name w:val="Pa6"/>
    <w:basedOn w:val="Default"/>
    <w:next w:val="Default"/>
    <w:uiPriority w:val="99"/>
    <w:rsid w:val="00C32A3E"/>
    <w:pPr>
      <w:spacing w:line="201" w:lineRule="atLeast"/>
    </w:pPr>
    <w:rPr>
      <w:rFonts w:ascii="Arial" w:eastAsiaTheme="minorHAnsi" w:hAnsi="Arial" w:cs="Arial"/>
      <w:color w:val="auto"/>
    </w:rPr>
  </w:style>
  <w:style w:type="paragraph" w:customStyle="1" w:styleId="Pa15">
    <w:name w:val="Pa15"/>
    <w:basedOn w:val="Default"/>
    <w:next w:val="Default"/>
    <w:uiPriority w:val="99"/>
    <w:rsid w:val="00C32A3E"/>
    <w:pPr>
      <w:spacing w:line="201" w:lineRule="atLeast"/>
    </w:pPr>
    <w:rPr>
      <w:rFonts w:ascii="Arial" w:eastAsiaTheme="minorHAnsi" w:hAnsi="Arial" w:cs="Arial"/>
      <w:color w:val="auto"/>
    </w:rPr>
  </w:style>
  <w:style w:type="paragraph" w:customStyle="1" w:styleId="Pa16">
    <w:name w:val="Pa16"/>
    <w:basedOn w:val="Default"/>
    <w:next w:val="Default"/>
    <w:uiPriority w:val="99"/>
    <w:rsid w:val="00C32A3E"/>
    <w:pPr>
      <w:spacing w:line="201" w:lineRule="atLeast"/>
    </w:pPr>
    <w:rPr>
      <w:rFonts w:ascii="Arial" w:eastAsiaTheme="minorHAnsi" w:hAnsi="Arial" w:cs="Arial"/>
      <w:color w:val="auto"/>
    </w:rPr>
  </w:style>
  <w:style w:type="paragraph" w:customStyle="1" w:styleId="Pa17">
    <w:name w:val="Pa17"/>
    <w:basedOn w:val="Default"/>
    <w:next w:val="Default"/>
    <w:uiPriority w:val="99"/>
    <w:rsid w:val="00C32A3E"/>
    <w:pPr>
      <w:spacing w:line="201" w:lineRule="atLeast"/>
    </w:pPr>
    <w:rPr>
      <w:rFonts w:ascii="Arial" w:eastAsiaTheme="minorHAnsi" w:hAnsi="Arial" w:cs="Arial"/>
      <w:color w:val="auto"/>
    </w:rPr>
  </w:style>
  <w:style w:type="paragraph" w:customStyle="1" w:styleId="parrafo22">
    <w:name w:val="parrafo_22"/>
    <w:basedOn w:val="Normal"/>
    <w:rsid w:val="00C32A3E"/>
    <w:pPr>
      <w:spacing w:before="360" w:after="180" w:line="240" w:lineRule="atLeast"/>
      <w:ind w:firstLine="360"/>
      <w:jc w:val="both"/>
    </w:pPr>
    <w:rPr>
      <w:sz w:val="20"/>
      <w:szCs w:val="20"/>
    </w:rPr>
  </w:style>
  <w:style w:type="character" w:styleId="Textoennegrita">
    <w:name w:val="Strong"/>
    <w:basedOn w:val="Fuentedeprrafopredeter"/>
    <w:uiPriority w:val="22"/>
    <w:qFormat/>
    <w:rsid w:val="00C32A3E"/>
    <w:rPr>
      <w:b/>
      <w:bCs/>
    </w:rPr>
  </w:style>
  <w:style w:type="numbering" w:customStyle="1" w:styleId="Sinlista3">
    <w:name w:val="Sin lista3"/>
    <w:next w:val="Sinlista"/>
    <w:uiPriority w:val="99"/>
    <w:semiHidden/>
    <w:unhideWhenUsed/>
    <w:rsid w:val="00C32A3E"/>
  </w:style>
  <w:style w:type="paragraph" w:styleId="Textonotapie">
    <w:name w:val="footnote text"/>
    <w:basedOn w:val="Normal"/>
    <w:link w:val="TextonotapieCar"/>
    <w:uiPriority w:val="99"/>
    <w:semiHidden/>
    <w:unhideWhenUsed/>
    <w:rsid w:val="006B3C76"/>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6B3C76"/>
    <w:rPr>
      <w:rFonts w:asciiTheme="minorHAnsi" w:eastAsiaTheme="minorHAnsi" w:hAnsiTheme="minorHAnsi" w:cstheme="minorBidi"/>
      <w:lang w:eastAsia="en-U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68</Pages>
  <Words>21740</Words>
  <Characters>119570</Characters>
  <Application>Microsoft Office Word</Application>
  <DocSecurity>0</DocSecurity>
  <Lines>996</Lines>
  <Paragraphs>282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2020-09-16T08:44:00Z</dcterms:created>
  <dcterms:modified xsi:type="dcterms:W3CDTF">2020-09-16T09:10:00Z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0x010100335E425D3694C54FA04BB28B0E86A0B5</vt:lpwstr>
  </property>
</Properties>
</file>